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2.0" w:type="dxa"/>
        <w:jc w:val="left"/>
        <w:tblLayout w:type="fixed"/>
        <w:tblLook w:val="0400"/>
      </w:tblPr>
      <w:tblGrid>
        <w:gridCol w:w="5092"/>
        <w:gridCol w:w="5170"/>
        <w:tblGridChange w:id="0">
          <w:tblGrid>
            <w:gridCol w:w="5092"/>
            <w:gridCol w:w="51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УТВЕРЖДАЮ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Президент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Региональной общественной организации «Федерация спортивного туризма Республики Татарстан»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________________ И.З. Хайруллин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"______"____________2026 г.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РЕГЛАМЕНТ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проведения Чемпионата г. Казани по спортивному туризму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дисциплине «северная ходьба» 23 мая 2026 года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567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 Общая информация:</w:t>
      </w:r>
    </w:p>
    <w:p w:rsidR="00000000" w:rsidDel="00000000" w:rsidP="00000000" w:rsidRDefault="00000000" w:rsidRPr="00000000" w14:paraId="00000014">
      <w:pPr>
        <w:spacing w:line="276" w:lineRule="auto"/>
        <w:ind w:right="1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Соревнования проводятся согласно «Календарю спортивных соревнований и мероприятий по спортивному туризму на 2026 год», утвержденному Министерством спорта Республики Татарстан.</w:t>
      </w:r>
    </w:p>
    <w:p w:rsidR="00000000" w:rsidDel="00000000" w:rsidP="00000000" w:rsidRDefault="00000000" w:rsidRPr="00000000" w14:paraId="00000015">
      <w:pPr>
        <w:spacing w:line="276" w:lineRule="auto"/>
        <w:ind w:right="19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76" w:lineRule="auto"/>
        <w:ind w:right="1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Соревнования проводятся в соответствии с Правилами вида спорта «спортивный туризм», положением об официальных спортивных соревнованиях Республики Татарстан по виду спорта «спортивный туризм» на 2026 год, Регламентом проведения соревнований, условиями проведения дистанций соревнований (далее – Условия), утвержденными главной судейской коллегией (далее – ГСК).</w:t>
      </w:r>
    </w:p>
    <w:p w:rsidR="00000000" w:rsidDel="00000000" w:rsidP="00000000" w:rsidRDefault="00000000" w:rsidRPr="00000000" w14:paraId="00000017">
      <w:pPr>
        <w:shd w:fill="ffffff" w:val="clear"/>
        <w:spacing w:line="276" w:lineRule="auto"/>
        <w:ind w:right="19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right="199"/>
        <w:jc w:val="both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Условия прохождения дистанций будут сообщены в день прибытия команд на месте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проведения соревнований и вывешены в группах: по ссылкам «Соревнования по спортивному туризму в РТ»  в телеграмм канале https://t.me/nordickazan за две недели  начала соревнований.</w:t>
      </w:r>
    </w:p>
    <w:p w:rsidR="00000000" w:rsidDel="00000000" w:rsidP="00000000" w:rsidRDefault="00000000" w:rsidRPr="00000000" w14:paraId="00000019">
      <w:pPr>
        <w:spacing w:line="276" w:lineRule="auto"/>
        <w:ind w:right="19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19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п.3 ч.4 ст.26.2 329-ФЗ «О физической культуре и спорте в Российской Федерации» запрещается оказывать противоправное влияние на результаты Соревнований.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проведении соревнований осуществляется обработка персональных данных.</w:t>
      </w:r>
    </w:p>
    <w:p w:rsidR="00000000" w:rsidDel="00000000" w:rsidP="00000000" w:rsidRDefault="00000000" w:rsidRPr="00000000" w14:paraId="0000001C">
      <w:pPr>
        <w:spacing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36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 Организаторы соревнований: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Министерство спорта Республики Татарстан;</w:t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РОО «Федерация спортивного туризма Республики Татарстан»;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Главный судья соревнований - 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Главный секретарь соревнований – </w:t>
      </w:r>
    </w:p>
    <w:p w:rsidR="00000000" w:rsidDel="00000000" w:rsidP="00000000" w:rsidRDefault="00000000" w:rsidRPr="00000000" w14:paraId="00000023">
      <w:pPr>
        <w:spacing w:line="276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360" w:hanging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Время и место проведения.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Сроки проведения: 23 мая 2026 года.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Место проведения: г. Казань, пос.Юдино, ул.Футбольная, 1, стадион «Локомотив» </w:t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Начало соревнований в 9.00. Старт соревнований в 10.30. 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Иногородние участники размещаются  самостоятельно.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</w:t>
        <w:tab/>
        <w:t xml:space="preserve">Программа соревнований.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Программа предусматривает проведение соревнований на дистанции 3 класса в дисциплине северная ходьба (код в ВРВС - 0840291811Л).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Протяженность дистанции 6,5 километров (2 круга + транзит по территории стадиона)  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Старт раздельный через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15 секунд.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b w:val="1"/>
          <w:bCs w:val="1"/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Соревнования проводятся в соответствии с «Правилами вида спорта «Спортивный туризм» от 22.04.2021 г.» (Раздел 4. Спортивная дисциплина "северная ходьба"), данным Положением и Условиями проведения соревнований.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Схема прохождения дистанции будет размещена в системе Orgeo.ru за 2 недели до проведения соревнований.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199"/>
        <w:jc w:val="both"/>
        <w:rPr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95"/>
        <w:gridCol w:w="2999"/>
        <w:gridCol w:w="6104"/>
        <w:tblGridChange w:id="0">
          <w:tblGrid>
            <w:gridCol w:w="1495"/>
            <w:gridCol w:w="2999"/>
            <w:gridCol w:w="610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276" w:lineRule="auto"/>
              <w:ind w:right="199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Дата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ind w:right="199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Время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ind w:right="199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Мероприятия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B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22.05.2026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12.00-15.00 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Приезд и размещение участников 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15:00 -16.00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Показ  дистанции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15:00 – 17:00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технической комиссии, маркировка дистанции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18.00 -19..00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Совещание ГСК 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7">
            <w:pPr>
              <w:spacing w:line="276" w:lineRule="auto"/>
              <w:ind w:right="199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23.05.2026</w:t>
            </w:r>
          </w:p>
        </w:tc>
        <w:tc>
          <w:tcPr/>
          <w:p w:rsidR="00000000" w:rsidDel="00000000" w:rsidP="00000000" w:rsidRDefault="00000000" w:rsidRPr="00000000" w14:paraId="00000048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9.00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Работа комиссии по допуску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10.00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Открытие соревнований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10.30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Старт дистанции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6,5 км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12.00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Подведение итогов</w:t>
            </w:r>
          </w:p>
        </w:tc>
      </w:tr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13.00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Награждение победителей</w:t>
            </w:r>
          </w:p>
        </w:tc>
      </w:tr>
      <w:tr>
        <w:trPr>
          <w:cantSplit w:val="0"/>
          <w:trHeight w:val="677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Style w:val="Heading3"/>
              <w:spacing w:line="276" w:lineRule="auto"/>
              <w:ind w:right="199"/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13.30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ind w:right="19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Окончание соревнований</w:t>
            </w:r>
          </w:p>
        </w:tc>
      </w:tr>
    </w:tbl>
    <w:p w:rsidR="00000000" w:rsidDel="00000000" w:rsidP="00000000" w:rsidRDefault="00000000" w:rsidRPr="00000000" w14:paraId="00000059">
      <w:pPr>
        <w:spacing w:line="276" w:lineRule="auto"/>
        <w:jc w:val="both"/>
        <w:rPr>
          <w:color w:val="00b05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вправе не обеспечивать призовым фондом и наградной атрибутикой спортсменов, не вышедших на награждение во время официального закрытия.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В случае возникновения изменения в программе соревнований будет сообщено заранее.</w:t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276" w:lineRule="auto"/>
        <w:ind w:left="720" w:hanging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Требования к участникам соревнования и условия допуска:</w:t>
      </w:r>
    </w:p>
    <w:p w:rsidR="00000000" w:rsidDel="00000000" w:rsidP="00000000" w:rsidRDefault="00000000" w:rsidRPr="00000000" w14:paraId="0000005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Соревнования проводятся среди спортсменов и любителей северной ходьбы города Казани Республики   Татарстан, без ограничений в спортивной подготовке.</w:t>
      </w:r>
    </w:p>
    <w:p w:rsidR="00000000" w:rsidDel="00000000" w:rsidP="00000000" w:rsidRDefault="00000000" w:rsidRPr="00000000" w14:paraId="0000005F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участию к соревнованиям допускаются спортсмены и любители северной ходьбы возрастной группы «мужчины, женщины» (18 лет и старше)</w:t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Для участия в соревновании необходимо наличие полиса медицинского страхования и медицинский допуск по форме 1144Н  по виду спорта спортивный туризм.</w:t>
      </w:r>
    </w:p>
    <w:p w:rsidR="00000000" w:rsidDel="00000000" w:rsidP="00000000" w:rsidRDefault="00000000" w:rsidRPr="00000000" w14:paraId="0000006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Спортсмены должны использовать палки с темляками, застегивающимися на запяст</w:t>
      </w:r>
      <w:bookmarkStart w:colFirst="0" w:colLast="0" w:name="9ue7a48yqrby" w:id="0"/>
      <w:bookmarkEnd w:id="0"/>
      <w:r w:rsidDel="00000000" w:rsidR="00000000" w:rsidRPr="00000000">
        <w:rPr>
          <w:sz w:val="24"/>
          <w:szCs w:val="24"/>
          <w:rtl w:val="0"/>
        </w:rPr>
        <w:t xml:space="preserve">ье. Темляк должен быть в форме полуперчатки.</w:t>
      </w:r>
    </w:p>
    <w:p w:rsidR="00000000" w:rsidDel="00000000" w:rsidP="00000000" w:rsidRDefault="00000000" w:rsidRPr="00000000" w14:paraId="0000006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Палки спортсмена должны быть одинаковой длины. Длина палок определяется формулой </w:t>
      </w:r>
    </w:p>
    <w:p w:rsidR="00000000" w:rsidDel="00000000" w:rsidP="00000000" w:rsidRDefault="00000000" w:rsidRPr="00000000" w14:paraId="0000006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"0,68* рост +/-2". Визуально рука с надетой палкой, вертикально поставленной на опорную поверхность, должна образовывать в локтевом суставе прямой угол. Контроль длины палок производится во время предстартовой проверки. </w:t>
      </w:r>
      <w:bookmarkStart w:colFirst="0" w:colLast="0" w:name="b26aqwaaxz8i" w:id="1"/>
      <w:bookmarkEnd w:id="1"/>
      <w:r w:rsidDel="00000000" w:rsidR="00000000" w:rsidRPr="00000000">
        <w:rPr>
          <w:rtl w:val="0"/>
        </w:rPr>
      </w:r>
    </w:p>
    <w:bookmarkStart w:colFirst="0" w:colLast="0" w:name="lef2hn7nyaa5" w:id="2"/>
    <w:bookmarkEnd w:id="2"/>
    <w:bookmarkStart w:colFirst="0" w:colLast="0" w:name="18o40uytdcar" w:id="3"/>
    <w:bookmarkEnd w:id="3"/>
    <w:p w:rsidR="00000000" w:rsidDel="00000000" w:rsidP="00000000" w:rsidRDefault="00000000" w:rsidRPr="00000000" w14:paraId="0000006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Использование палок с темляком типа "петля", с помповым или пружинным механизмами трубки запрещено.</w:t>
      </w:r>
    </w:p>
    <w:p w:rsidR="00000000" w:rsidDel="00000000" w:rsidP="00000000" w:rsidRDefault="00000000" w:rsidRPr="00000000" w14:paraId="0000006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Замена неисправного (поврежденного) снаряжения разрешается на точках контроля дистанции. </w:t>
      </w:r>
    </w:p>
    <w:p w:rsidR="00000000" w:rsidDel="00000000" w:rsidP="00000000" w:rsidRDefault="00000000" w:rsidRPr="00000000" w14:paraId="0000006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Соревнования проводятся в личном зачете.</w:t>
      </w:r>
    </w:p>
    <w:p w:rsidR="00000000" w:rsidDel="00000000" w:rsidP="00000000" w:rsidRDefault="00000000" w:rsidRPr="00000000" w14:paraId="0000006C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160" w:line="259" w:lineRule="auto"/>
        <w:ind w:left="720" w:hanging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Порядок и сроки подачи заявок;</w:t>
      </w:r>
    </w:p>
    <w:p w:rsidR="00000000" w:rsidDel="00000000" w:rsidP="00000000" w:rsidRDefault="00000000" w:rsidRPr="00000000" w14:paraId="0000006F">
      <w:pPr>
        <w:spacing w:after="160" w:line="259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Предварительные заявки на участие в соревнованиях подаются через сайт </w:t>
      </w:r>
      <w:hyperlink r:id="rId6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Orgeo, Соревнования онлайн: календарь, заявка, результаты спортивных мероприятий</w:t>
        </w:r>
      </w:hyperlink>
      <w:r w:rsidDel="00000000" w:rsidR="00000000" w:rsidRPr="00000000">
        <w:rPr>
          <w:sz w:val="24"/>
          <w:szCs w:val="24"/>
          <w:rtl w:val="0"/>
        </w:rPr>
        <w:t xml:space="preserve"> или  в произвольной форме до 21 мая 2026 г.  на e-mail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– ruslanius@bk.ru, или  WhatsApp   конт. тел.: 8-904-761-89-29.  Ответственный за прием заявок 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-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Селиванов Руслан Наильевич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 заявке прилагаются следующие документы на каждого спортсмена:</w:t>
      </w:r>
    </w:p>
    <w:p w:rsidR="00000000" w:rsidDel="00000000" w:rsidP="00000000" w:rsidRDefault="00000000" w:rsidRPr="00000000" w14:paraId="0000007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медицинская справка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по форме 1144Н;</w:t>
      </w:r>
    </w:p>
    <w:p w:rsidR="00000000" w:rsidDel="00000000" w:rsidP="00000000" w:rsidRDefault="00000000" w:rsidRPr="00000000" w14:paraId="00000072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медицинская страховка действующая на день соревнований</w:t>
      </w:r>
    </w:p>
    <w:p w:rsidR="00000000" w:rsidDel="00000000" w:rsidP="00000000" w:rsidRDefault="00000000" w:rsidRPr="00000000" w14:paraId="00000073">
      <w:pPr>
        <w:spacing w:after="160" w:line="259" w:lineRule="auto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Участники, не представившие комплект документов к соревнованиям, не допускаются.</w:t>
      </w:r>
    </w:p>
    <w:p w:rsidR="00000000" w:rsidDel="00000000" w:rsidP="00000000" w:rsidRDefault="00000000" w:rsidRPr="00000000" w14:paraId="00000074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76" w:lineRule="auto"/>
        <w:ind w:left="720" w:hanging="36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Финансовые условия: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Расходы, связанные с проведением соревнований и награждением победителей, несут Министерство спорта Республики Татарстан и спонсоры.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Расходы, связанные с командированием участников команд (проезд в оба конца, суточные в пути, проживание и питание в дни соревнований, страхование, оплата заявочного взноса, прокат снаряжения) несут командирующие организации или сами участники.</w:t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соревновании устанавливается индивидуальный заявочный (стартовый) взнос в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размере 500 руб. с человека.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Оплата заявочного взноса производится после подачи заявки по реквизитам или перечисляется на карту Сбербанка, привязанную к,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конт. тел.: 8-904-761-89-29, получатель</w:t>
      </w:r>
      <w:r w:rsidDel="00000000" w:rsidR="00000000" w:rsidRPr="00000000">
        <w:rPr>
          <w:color w:val="ff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Селиванов Руслан Наильевич, с обязательным отправлением скрина оплаты на WhatsApp  или MAX по указанному номеру телефона.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Спортивные судьи, участвующие в проведении спортивных соревнований, предъявляют  ГС судейские книжки с отметкой о присвоении или подтверждении соответствующей судейской квалификационной категории. </w:t>
      </w:r>
    </w:p>
    <w:p w:rsidR="00000000" w:rsidDel="00000000" w:rsidP="00000000" w:rsidRDefault="00000000" w:rsidRPr="00000000" w14:paraId="0000007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Стартовый взнос при неявке спортсмена на старт не возвращается.</w:t>
      </w:r>
    </w:p>
    <w:p w:rsidR="00000000" w:rsidDel="00000000" w:rsidP="00000000" w:rsidRDefault="00000000" w:rsidRPr="00000000" w14:paraId="0000008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 Определение победителей.</w:t>
      </w:r>
    </w:p>
    <w:p w:rsidR="00000000" w:rsidDel="00000000" w:rsidP="00000000" w:rsidRDefault="00000000" w:rsidRPr="00000000" w14:paraId="00000082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Соревнования проводятся по штрафной системе оценки нарушений. Результат участника на дистанции определяется по времени, затраченному на прохождение дистанции, с учетом суммы штрафного времени. Для контроля за прохождением дистанции используется ручной хронометраж. </w:t>
      </w:r>
    </w:p>
    <w:p w:rsidR="00000000" w:rsidDel="00000000" w:rsidP="00000000" w:rsidRDefault="00000000" w:rsidRPr="00000000" w14:paraId="00000083">
      <w:pPr>
        <w:spacing w:after="160" w:line="25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Победителем, становится участник, показавший меньшее время прохождения дистанции с учетом штрафного времени. Для контроля действия спортсменов-участников на дистанции вводится система оценки нарушений в соответствии с п.10.1.1. Правил вида спорта спортивный туризм, утвержденными Министерством спорта РФ № 255 от 22 апреля 2021 г.:</w:t>
      </w:r>
      <w:r w:rsidDel="00000000" w:rsidR="00000000" w:rsidRPr="00000000">
        <w:rPr>
          <w:rtl w:val="0"/>
        </w:rPr>
      </w:r>
    </w:p>
    <w:tbl>
      <w:tblPr>
        <w:tblStyle w:val="Table3"/>
        <w:tblW w:w="10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17"/>
        <w:gridCol w:w="6124"/>
        <w:gridCol w:w="3338"/>
        <w:gridCol w:w="6"/>
        <w:tblGridChange w:id="0">
          <w:tblGrid>
            <w:gridCol w:w="817"/>
            <w:gridCol w:w="6124"/>
            <w:gridCol w:w="3338"/>
            <w:gridCol w:w="6"/>
          </w:tblGrid>
        </w:tblGridChange>
      </w:tblGrid>
      <w:tr>
        <w:trPr>
          <w:cantSplit w:val="0"/>
          <w:trHeight w:val="373" w:hRule="atLeast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№ 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Название нарушения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Штрафная системы оценки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Отсутствие сохранения контакта палки с опорной поверхностью под острым углом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Наклон корпуса вперёд больше наклона передней палки</w:t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Излишний подъём наконечников палок вверх и разброс в стороны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балл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Малая амплитуда движения рук - отсутствие выноса локтя впереди корпуса при постановке палки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Малая амплитуда движения рук - отсутствие заведения кисти за корпус при завершении отталкивания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Отсутствие попеременной (диагональной) работы рук и ног</w:t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Отсутствие постоянного контакта одной ноги с опорной поверхностью (однократное)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Движение на полусогнутых ногах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Движение без отталкивания - отсутствие акцентированного контакта палок с опорной поверхностью (отрыв задней палки от опоры до отрыва задней ноги)</w:t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Движение без отталкивания - волочение палок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Создание помех для движения соперников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балла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Переход на бег или прыжки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Красная карточка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Отказ участника от остановки по требованию судьи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Красная карточка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Неспортивное поведение (агрессия, оскорбления и т.п. в отношении организаторов, участников, судей, зрителей)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Красная карточка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Сокращение участником дистанции соревнований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Красная карточка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line="259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Невыполнение участником Условий соревнований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spacing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Красная карточка</w:t>
            </w:r>
          </w:p>
        </w:tc>
      </w:tr>
    </w:tbl>
    <w:p w:rsidR="00000000" w:rsidDel="00000000" w:rsidP="00000000" w:rsidRDefault="00000000" w:rsidRPr="00000000" w14:paraId="000000B8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 равенстве результата у двух и более спортсменов преимущество получает участник с наименьшим количеством штрафных баллов.</w:t>
      </w:r>
    </w:p>
    <w:p w:rsidR="00000000" w:rsidDel="00000000" w:rsidP="00000000" w:rsidRDefault="00000000" w:rsidRPr="00000000" w14:paraId="000000BA">
      <w:pPr>
        <w:spacing w:after="160" w:line="25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 Награждение.</w:t>
      </w:r>
    </w:p>
    <w:p w:rsidR="00000000" w:rsidDel="00000000" w:rsidP="00000000" w:rsidRDefault="00000000" w:rsidRPr="00000000" w14:paraId="000000BC">
      <w:pPr>
        <w:spacing w:after="160" w:line="25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Награждение проводится раздельно среди мужчин и женщин.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Участники, занявшие 1, 2, 3 места, награждаются медалями и памятными дипломами.</w:t>
      </w:r>
    </w:p>
    <w:p w:rsidR="00000000" w:rsidDel="00000000" w:rsidP="00000000" w:rsidRDefault="00000000" w:rsidRPr="00000000" w14:paraId="000000BE">
      <w:pPr>
        <w:spacing w:after="16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оставляют за собой право награждать спортсменов ценными призами, предоставленных спонсорами соревнований.</w:t>
      </w:r>
    </w:p>
    <w:p w:rsidR="00000000" w:rsidDel="00000000" w:rsidP="00000000" w:rsidRDefault="00000000" w:rsidRPr="00000000" w14:paraId="000000BF">
      <w:pPr>
        <w:spacing w:after="160" w:line="276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 Обеспечение безопасности</w:t>
      </w:r>
    </w:p>
    <w:p w:rsidR="00000000" w:rsidDel="00000000" w:rsidP="00000000" w:rsidRDefault="00000000" w:rsidRPr="00000000" w14:paraId="000000C1">
      <w:pPr>
        <w:spacing w:line="276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Ответственность за безопасность проведения соревнований несут проводящие организации: Федерация спортивного туризма РТ (комитет по северной ходьбе РОО ФСТ РТ).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На территории стадиона  будут сотрудники МВД и представитель здравоохранения.</w:t>
      </w:r>
    </w:p>
    <w:p w:rsidR="00000000" w:rsidDel="00000000" w:rsidP="00000000" w:rsidRDefault="00000000" w:rsidRPr="00000000" w14:paraId="000000C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6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Организаторы спортивных соревнований и ГСК не несут ответственности за происшествия, случившиеся во время прохождения дистанции из-за неправильного поведения участников, а также в случае форс-мажорных обстоятельств.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60" w:line="259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Контактная информация</w:t>
      </w:r>
    </w:p>
    <w:p w:rsidR="00000000" w:rsidDel="00000000" w:rsidP="00000000" w:rsidRDefault="00000000" w:rsidRPr="00000000" w14:paraId="000000C6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общим вопросам – Хайруллин Ильгизяр Зиннатович, конт. тел.: 8-917-893-59-17, </w:t>
      </w:r>
    </w:p>
    <w:p w:rsidR="00000000" w:rsidDel="00000000" w:rsidP="00000000" w:rsidRDefault="00000000" w:rsidRPr="00000000" w14:paraId="000000C7">
      <w:pPr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 электронной почты: ilgisarh@mail.ru; </w:t>
      </w:r>
    </w:p>
    <w:p w:rsidR="00000000" w:rsidDel="00000000" w:rsidP="00000000" w:rsidRDefault="00000000" w:rsidRPr="00000000" w14:paraId="000000C8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организационным вопросам –  Кадырова Лидия Ринадовна, конт.тел.  8-917-390-94-41,  </w:t>
      </w:r>
    </w:p>
    <w:p w:rsidR="00000000" w:rsidDel="00000000" w:rsidP="00000000" w:rsidRDefault="00000000" w:rsidRPr="00000000" w14:paraId="000000C9">
      <w:pPr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Адрес электронной почты: lidakad@gmail.com.</w:t>
      </w:r>
    </w:p>
    <w:p w:rsidR="00000000" w:rsidDel="00000000" w:rsidP="00000000" w:rsidRDefault="00000000" w:rsidRPr="00000000" w14:paraId="000000CA">
      <w:pPr>
        <w:spacing w:after="16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вопросам подачи заявок –   Селиванов Руслан Наильевич, конт. тел.: 8-904-761-89-29,</w:t>
      </w:r>
    </w:p>
    <w:p w:rsidR="00000000" w:rsidDel="00000000" w:rsidP="00000000" w:rsidRDefault="00000000" w:rsidRPr="00000000" w14:paraId="000000CB">
      <w:pPr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Адрес электронной почты:  ruslanius@bk.ru</w:t>
      </w:r>
    </w:p>
    <w:p w:rsidR="00000000" w:rsidDel="00000000" w:rsidP="00000000" w:rsidRDefault="00000000" w:rsidRPr="00000000" w14:paraId="000000CC">
      <w:pPr>
        <w:spacing w:after="16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="259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Данный Регламент является официальным вызовом на спортивные соревнования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07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7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5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after="100" w:before="100" w:lineRule="auto"/>
    </w:pPr>
    <w:rPr>
      <w:rFonts w:ascii="Arial" w:cs="Arial" w:eastAsia="Arial" w:hAnsi="Arial"/>
      <w:b w:val="1"/>
      <w:bCs w:val="1"/>
      <w:color w:val="808080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rgeo.ru/?ysclid=m6tmzim9pa317243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