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left" w:leader="none" w:pos="5760"/>
        </w:tabs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Ind w:w="103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981"/>
        <w:gridCol w:w="3260"/>
        <w:gridCol w:w="4235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81" w:type="dxa"/>
            <w:vAlign w:val="top"/>
            <w:textDirection w:val="lrTb"/>
            <w:noWrap w:val="false"/>
          </w:tcPr>
          <w:p>
            <w:pPr>
              <w:pStyle w:val="982"/>
              <w:pBdr/>
              <w:spacing/>
              <w:ind/>
              <w:jc w:val="left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«УТВЕРЖДАЮ»</w:t>
            </w:r>
            <w:r>
              <w:rPr>
                <w:b/>
                <w:lang w:val="ru-RU"/>
              </w:rPr>
            </w:r>
            <w:r>
              <w:rPr>
                <w:b/>
                <w:lang w:val="ru-RU"/>
              </w:rPr>
            </w:r>
          </w:p>
          <w:p>
            <w:pPr>
              <w:pStyle w:val="982"/>
              <w:pBdr/>
              <w:spacing/>
              <w:ind/>
              <w:rPr>
                <w:lang w:val="ru-RU"/>
              </w:rPr>
            </w:pPr>
            <w:r>
              <w:rPr>
                <w:lang w:val="ru-RU"/>
              </w:rPr>
              <w:t xml:space="preserve">Председатель РОО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982"/>
              <w:pBdr/>
              <w:spacing/>
              <w:ind/>
              <w:rPr>
                <w:lang w:val="ru-RU"/>
              </w:rPr>
            </w:pPr>
            <w:r>
              <w:rPr>
                <w:lang w:val="ru-RU"/>
              </w:rPr>
              <w:t xml:space="preserve">«Федерация триатлона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982"/>
              <w:pBdr/>
              <w:spacing/>
              <w:ind/>
              <w:rPr>
                <w:lang w:val="ru-RU"/>
              </w:rPr>
            </w:pPr>
            <w:r>
              <w:rPr>
                <w:lang w:val="ru-RU"/>
              </w:rPr>
              <w:t xml:space="preserve">Челябинской области»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982"/>
              <w:pBdr/>
              <w:spacing/>
              <w:ind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982"/>
              <w:pBdr/>
              <w:spacing/>
              <w:ind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982"/>
              <w:pBdr/>
              <w:spacing/>
              <w:ind/>
              <w:rPr>
                <w:lang w:val="ru-RU"/>
              </w:rPr>
            </w:pPr>
            <w:r>
              <w:rPr>
                <w:lang w:val="ru-RU"/>
              </w:rPr>
              <w:t xml:space="preserve">__________________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982"/>
              <w:pBdr/>
              <w:spacing/>
              <w:ind/>
              <w:rPr>
                <w:lang w:val="ru-RU"/>
              </w:rPr>
            </w:pPr>
            <w:r>
              <w:rPr>
                <w:lang w:val="ru-RU"/>
              </w:rPr>
              <w:t xml:space="preserve">С.С. Конча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982"/>
              <w:pBdr/>
              <w:spacing/>
              <w:ind/>
              <w:rPr>
                <w:lang w:val="ru-RU"/>
              </w:rPr>
            </w:pPr>
            <w:r>
              <w:rPr>
                <w:lang w:val="ru-RU"/>
              </w:rPr>
              <w:t xml:space="preserve">«____»_______ 202</w:t>
            </w:r>
            <w:r>
              <w:rPr>
                <w:lang w:val="ru-RU"/>
              </w:rPr>
              <w:t xml:space="preserve">6</w:t>
            </w:r>
            <w:r>
              <w:rPr>
                <w:lang w:val="ru-RU"/>
              </w:rPr>
              <w:t xml:space="preserve"> г.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«СОГЛАСОВАНО» 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Начальник Управления ФКиС   города Миасса                            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982"/>
              <w:pBdr/>
              <w:spacing/>
              <w:ind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  <w:t xml:space="preserve">  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82"/>
              <w:pBdr/>
              <w:spacing/>
              <w:ind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__________________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82"/>
              <w:pBdr/>
              <w:spacing/>
              <w:ind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>
              <w:rPr>
                <w:sz w:val="28"/>
                <w:szCs w:val="28"/>
                <w:lang w:val="ru-RU"/>
              </w:rPr>
              <w:t xml:space="preserve">В.В. Васильев</w:t>
            </w: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82"/>
              <w:pBdr/>
              <w:spacing/>
              <w:ind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«____»_________ 202</w:t>
            </w:r>
            <w:r>
              <w:rPr>
                <w:sz w:val="28"/>
                <w:szCs w:val="28"/>
                <w:lang w:val="ru-RU"/>
              </w:rPr>
              <w:t xml:space="preserve">6 </w:t>
            </w:r>
            <w:r>
              <w:rPr>
                <w:sz w:val="28"/>
                <w:szCs w:val="28"/>
                <w:lang w:val="ru-RU"/>
              </w:rPr>
              <w:t xml:space="preserve">г.                                        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82"/>
              <w:pBdr/>
              <w:spacing/>
              <w:ind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82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3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   «СОГЛАСОВАНО» 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Директор МБУ ДО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«СШОР № 4» 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города Миасса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:lang w:val="ru-RU"/>
              </w:rPr>
              <w:t xml:space="preserve">__________________</w:t>
            </w:r>
            <w:r>
              <w:rPr>
                <w:sz w:val="28"/>
                <w:szCs w:val="28"/>
                <w:lang w:val="ru-RU"/>
              </w:rPr>
              <w:t xml:space="preserve"> 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eastAsia="ru-RU"/>
              </w:rPr>
            </w:r>
            <w:r>
              <w:rPr>
                <w:sz w:val="28"/>
                <w:szCs w:val="28"/>
                <w:lang w:val="ru-RU"/>
              </w:rPr>
              <w:t xml:space="preserve">Е.А. Долгих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  <w:lang w:val="ru-RU"/>
              </w:rPr>
            </w:r>
            <w:r>
              <w:rPr>
                <w:sz w:val="28"/>
                <w:szCs w:val="28"/>
                <w:lang w:val="ru-RU"/>
              </w:rPr>
              <w:t xml:space="preserve">«____»___________202</w:t>
            </w:r>
            <w:r>
              <w:rPr>
                <w:sz w:val="28"/>
                <w:szCs w:val="28"/>
                <w:lang w:val="ru-RU"/>
              </w:rPr>
              <w:t xml:space="preserve">6</w:t>
            </w:r>
            <w:r>
              <w:rPr>
                <w:sz w:val="28"/>
                <w:szCs w:val="28"/>
                <w:lang w:val="ru-RU"/>
              </w:rPr>
              <w:t xml:space="preserve"> 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tabs>
          <w:tab w:val="left" w:leader="none" w:pos="5760"/>
        </w:tabs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        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Style w:val="982"/>
        <w:pBdr/>
        <w:spacing w:line="360" w:lineRule="auto"/>
        <w:ind/>
        <w:rPr>
          <w:lang w:val="ru-RU"/>
        </w:rPr>
      </w:pPr>
      <w:r>
        <w:rPr>
          <w:lang w:val="ru-RU"/>
        </w:rPr>
        <w:t xml:space="preserve">                                         </w:t>
      </w:r>
      <w:r>
        <w:rPr>
          <w:lang w:val="ru-RU"/>
        </w:rPr>
      </w:r>
      <w:r>
        <w:rPr>
          <w:lang w:val="ru-RU"/>
        </w:rPr>
      </w:r>
    </w:p>
    <w:p>
      <w:pPr>
        <w:pStyle w:val="982"/>
        <w:pBdr/>
        <w:spacing w:line="360" w:lineRule="auto"/>
        <w:ind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pBdr/>
        <w:spacing w:line="276" w:lineRule="auto"/>
        <w:ind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РЕГЛАМЕНТ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Bdr/>
        <w:spacing w:line="276" w:lineRule="auto"/>
        <w:ind/>
        <w:jc w:val="center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 xml:space="preserve">ОТКРЫТОГО ПЕРВЕНСТВА ЧЕЛЯБИНСКОЙ ОБЛАСТИ </w:t>
      </w:r>
      <w:r>
        <w:rPr>
          <w:b/>
          <w:sz w:val="32"/>
          <w:szCs w:val="32"/>
        </w:rPr>
      </w:r>
      <w:r>
        <w:rPr>
          <w:b/>
          <w:bCs/>
          <w:sz w:val="32"/>
          <w:szCs w:val="32"/>
        </w:rPr>
      </w:r>
    </w:p>
    <w:p>
      <w:pPr>
        <w:pBdr/>
        <w:spacing w:line="276" w:lineRule="auto"/>
        <w:ind/>
        <w:jc w:val="center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 xml:space="preserve">ПО ТРИАТЛОНУ</w:t>
      </w:r>
      <w:r>
        <w:rPr>
          <w:b/>
          <w:sz w:val="32"/>
          <w:szCs w:val="32"/>
        </w:rPr>
      </w:r>
      <w:r>
        <w:rPr>
          <w:b/>
          <w:bCs/>
          <w:sz w:val="32"/>
          <w:szCs w:val="32"/>
        </w:rPr>
      </w:r>
    </w:p>
    <w:p>
      <w:pPr>
        <w:pBdr/>
        <w:spacing w:line="276" w:lineRule="auto"/>
        <w:ind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(ЕКП № 4024)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Bdr/>
        <w:spacing w:line="276" w:lineRule="auto"/>
        <w:ind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категории участников: юноши, девушки 13-14, 15-17 лет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Bdr/>
        <w:spacing w:line="276" w:lineRule="auto"/>
        <w:ind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спортивная дисциплина: акватлон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Bdr/>
        <w:spacing w:line="276" w:lineRule="auto"/>
        <w:ind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jc w:val="left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п. Тургояк  14-16 июля 2026 г.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 w:clear="all"/>
      </w:r>
      <w:r>
        <w:rPr>
          <w:b/>
          <w:sz w:val="28"/>
          <w:szCs w:val="28"/>
        </w:rPr>
        <w:t xml:space="preserve">1. СРОКИ И МЕСТО ПРОВЕДЕНИЯ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Соревнования проводятся с 14 по 16 июля 2026 года.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76" w:lineRule="auto"/>
        <w:ind/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 соревнований: Челябинская область п. Тургояк </w:t>
      </w:r>
      <w:r>
        <w:rPr>
          <w:sz w:val="28"/>
          <w:szCs w:val="28"/>
        </w:rPr>
        <w:t xml:space="preserve">СОЦ им. Зои Космодемьянской.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Дата приезда: 14 июля 2026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76" w:lineRule="auto"/>
        <w:ind w:left="108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76" w:lineRule="auto"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ОРГАНИЗАТОРЫ МЕРОПРИЯТИЯ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75"/>
        <w:pBdr/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Общее руководство подготовкой и проведением соревнования осуществляют </w:t>
      </w:r>
      <w:r>
        <w:rPr>
          <w:rFonts w:cs="Times New Roman"/>
          <w:sz w:val="28"/>
          <w:szCs w:val="28"/>
        </w:rPr>
        <w:t xml:space="preserve"> РОО «Федерация триатлона Челябинской области».</w:t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pBdr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ar-SA"/>
        </w:rPr>
        <w:t xml:space="preserve">Непосредственное проведение соревнования осуществляет РОО «Федерация триатлона Челябинской области», Управление по физической культуре и спорту Администрации </w:t>
      </w:r>
      <w:r>
        <w:rPr>
          <w:color w:val="000000"/>
          <w:sz w:val="28"/>
          <w:szCs w:val="28"/>
          <w:lang w:eastAsia="ar-SA"/>
        </w:rPr>
        <w:t xml:space="preserve">Миасского городского округа.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Главная судейская коллегия, утвержденная РОО «Федерация триатлона Челябинской области» (далее </w:t>
      </w:r>
      <w:r>
        <w:rPr>
          <w:sz w:val="28"/>
          <w:szCs w:val="28"/>
        </w:rPr>
        <w:t xml:space="preserve">-Г</w:t>
      </w:r>
      <w:r>
        <w:rPr>
          <w:sz w:val="28"/>
          <w:szCs w:val="28"/>
        </w:rPr>
        <w:t xml:space="preserve">СК).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76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ТРЕБОВАНИЯ К УЧАСТНИКАМ И УСЛОВИЯ ДОПУСКА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об официальных спортивных соревнованиях Челябинской области по триатлону на 2026 год к участию в соревнованиях допускаются спортсмены спортивных сборных команд субъектов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76" w:lineRule="auto"/>
        <w:ind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К участию в соревнованиях допускаются спортсмены Челябинской области,</w:t>
      </w:r>
      <w:r>
        <w:rPr>
          <w:sz w:val="28"/>
          <w:szCs w:val="28"/>
        </w:rPr>
        <w:t xml:space="preserve"> с официально оформленными спортивными разрядами по триатлону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spacing w:line="276" w:lineRule="auto"/>
        <w:ind w:firstLine="708"/>
        <w:jc w:val="both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</w:rPr>
        <w:t xml:space="preserve">Юноши, девушки 13-14 лет</w:t>
      </w:r>
      <w:r>
        <w:rPr>
          <w:sz w:val="28"/>
          <w:szCs w:val="28"/>
          <w:highlight w:val="none"/>
        </w:rPr>
        <w:t xml:space="preserve"> – не ниже </w:t>
      </w:r>
      <w:r>
        <w:rPr>
          <w:sz w:val="28"/>
          <w:szCs w:val="28"/>
          <w:highlight w:val="none"/>
          <w:lang w:val="en-US"/>
        </w:rPr>
        <w:t xml:space="preserve">II</w:t>
      </w:r>
      <w:r>
        <w:rPr>
          <w:sz w:val="28"/>
          <w:szCs w:val="28"/>
          <w:highlight w:val="none"/>
          <w:lang w:val="ru-RU"/>
        </w:rPr>
        <w:t xml:space="preserve"> юн;</w:t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pBdr/>
        <w:spacing w:line="276" w:lineRule="auto"/>
        <w:ind w:firstLine="708"/>
        <w:jc w:val="both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</w:rPr>
        <w:t xml:space="preserve">Юноши, девушки 15-17 лет</w:t>
      </w:r>
      <w:r>
        <w:rPr>
          <w:sz w:val="28"/>
          <w:szCs w:val="28"/>
          <w:highlight w:val="none"/>
        </w:rPr>
        <w:t xml:space="preserve"> – не ниже </w:t>
      </w:r>
      <w:r>
        <w:rPr>
          <w:sz w:val="28"/>
          <w:szCs w:val="28"/>
          <w:highlight w:val="none"/>
          <w:lang w:val="en-US"/>
        </w:rPr>
        <w:t xml:space="preserve">I</w:t>
      </w:r>
      <w:r>
        <w:rPr>
          <w:sz w:val="28"/>
          <w:szCs w:val="28"/>
          <w:highlight w:val="none"/>
          <w:lang w:val="ru-RU"/>
        </w:rPr>
        <w:t xml:space="preserve"> </w:t>
      </w:r>
      <w:r>
        <w:rPr>
          <w:sz w:val="28"/>
          <w:szCs w:val="28"/>
          <w:highlight w:val="none"/>
          <w:lang w:val="ru-RU"/>
        </w:rPr>
        <w:t xml:space="preserve">юн.</w:t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pBdr/>
        <w:spacing w:line="276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Именные заявки (Приложение) на участие в Соревнованиях, подписанные руководителем спортивной школы, физкультурно-спортивного клуба или организации, заверенные </w:t>
      </w:r>
      <w:r>
        <w:rPr>
          <w:sz w:val="28"/>
          <w:szCs w:val="28"/>
        </w:rPr>
        <w:t xml:space="preserve">печатью физкультурного диспансера или медицинской организации, имеющей лицензию на осуществление медицинской деятельности, перечень работ и услуг, который включает лечебную физкультуру и спортивную медицину и подписью врача, подписью представителя команды.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заявке прилагаются следующие документы на каждого участника: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76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паспорт гражданина Российской Федерации (спортсмены не достигшие возраста 14 лет свидетельство о рождении);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76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зачетная классификационная книжка, подтверждающая спортивный разряд;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76" w:lineRule="auto"/>
        <w:ind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 полис обязательного медицинского страхования;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76" w:lineRule="auto"/>
        <w:ind/>
        <w:jc w:val="lef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-  полис страхования жизни и здоровья от несчастных случаев;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spacing w:line="276" w:lineRule="auto"/>
        <w:ind w:firstLine="0" w:left="0"/>
        <w:jc w:val="lef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-индивидуальная карта спортсмена (лицензия ФТР);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spacing w:line="276" w:lineRule="auto"/>
        <w:ind/>
        <w:jc w:val="lef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- согласие на обработку персональных данных.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spacing w:line="276" w:lineRule="auto"/>
        <w:ind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76" w:lineRule="auto"/>
        <w:ind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76" w:lineRule="auto"/>
        <w:ind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76" w:lineRule="auto"/>
        <w:ind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76" w:lineRule="auto"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 w:line="276" w:lineRule="auto"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ВОЗРАСТНЫЕ ГРУППЫ И ДИСТАНЦИИ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Ind w:w="108" w:type="dxa"/>
        <w:tblW w:w="99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pPr w:horzAnchor="margin" w:tblpXSpec="center" w:vertAnchor="text" w:tblpY="367" w:leftFromText="180" w:topFromText="0" w:rightFromText="180" w:bottomFromText="160"/>
        <w:tblLook w:val="0400" w:firstRow="0" w:lastRow="0" w:firstColumn="0" w:lastColumn="0" w:noHBand="0" w:noVBand="1"/>
      </w:tblPr>
      <w:tblGrid>
        <w:gridCol w:w="4644"/>
        <w:gridCol w:w="1363"/>
        <w:gridCol w:w="2039"/>
        <w:gridCol w:w="1917"/>
      </w:tblGrid>
      <w:tr>
        <w:trPr>
          <w:trHeight w:val="416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4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76" w:lineRule="auto"/>
              <w:ind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Возрастные категории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19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Дистанции 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Bdr/>
              <w:spacing w:line="276" w:lineRule="auto"/>
              <w:ind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rPr>
          <w:trHeight w:val="216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</w:r>
            <w:r>
              <w:rPr>
                <w:rFonts w:eastAsia="Arial"/>
                <w:sz w:val="22"/>
                <w:szCs w:val="22"/>
                <w:lang w:eastAsia="en-US"/>
              </w:rPr>
            </w:r>
            <w:r>
              <w:rPr>
                <w:rFonts w:eastAsia="Arial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03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Плавание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9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6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4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Юноши, девушки 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Bdr/>
              <w:spacing w:line="276" w:lineRule="auto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13-14 лет (2011-2012 г.р.)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3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0"/>
                <w:tab w:val="left" w:leader="none" w:pos="993"/>
              </w:tabs>
              <w:spacing w:line="276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1,25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039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0"/>
                <w:tab w:val="left" w:leader="none" w:pos="993"/>
              </w:tabs>
              <w:spacing w:line="276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0,5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917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0"/>
                <w:tab w:val="left" w:leader="none" w:pos="993"/>
              </w:tabs>
              <w:spacing w:line="276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6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Юноши, девушки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15-17 лет (2008-2010 г.р.)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03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91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tabs>
          <w:tab w:val="left" w:leader="none" w:pos="0"/>
          <w:tab w:val="left" w:leader="none" w:pos="993"/>
        </w:tabs>
        <w:spacing w:line="276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4"/>
        <w:pBdr/>
        <w:spacing w:line="276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ПРОГРАММА И УСЛОВИЯ ПРОВЕДЕНИЯ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44"/>
        <w:pBdr/>
        <w:spacing w:line="276" w:lineRule="auto"/>
        <w:ind w:firstLine="708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</w:rPr>
        <w:t xml:space="preserve">Соревнования проводятся по правилам вида спорта «триатлон»: (</w:t>
      </w:r>
      <w:hyperlink r:id="rId9" w:tooltip="https://minsport.gov.ru/activity/government-regulation/vidy-sporta-razvivaemye-na-obshherossijskom-urovne/letnie-olimpijskie-vidy-sporta-2/triatlon-1/" w:history="1">
        <w:r>
          <w:rPr>
            <w:rStyle w:val="961"/>
            <w:rFonts w:ascii="Times New Roman" w:hAnsi="Times New Roman" w:eastAsia="Times New Roman"/>
            <w:sz w:val="28"/>
            <w:szCs w:val="28"/>
          </w:rPr>
          <w:t xml:space="preserve">https://minsport.gov.ru/activity/government-regulation/vidy-sporta-razvivaemye-na-obshherossijskom-urovne/letnie-olimpijskie-vidy-sporta-2/triatlon-1/</w:t>
        </w:r>
      </w:hyperlink>
      <w:r>
        <w:rPr>
          <w:rFonts w:ascii="Times New Roman" w:hAnsi="Times New Roman" w:eastAsia="Times New Roman"/>
          <w:sz w:val="28"/>
          <w:szCs w:val="28"/>
        </w:rPr>
        <w:t xml:space="preserve">), (дал</w:t>
      </w:r>
      <w:r>
        <w:rPr>
          <w:rFonts w:ascii="Times New Roman" w:hAnsi="Times New Roman" w:eastAsia="Times New Roman"/>
          <w:sz w:val="28"/>
          <w:szCs w:val="28"/>
        </w:rPr>
        <w:t xml:space="preserve">ее -Правила), и правилам Всемирной федерации триатлона.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44"/>
        <w:pBdr/>
        <w:spacing w:line="276" w:lineRule="auto"/>
        <w:ind w:firstLine="708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Соревнования личные. Допуск участников соревнований, в соответствии с Положением об официальных спортивных соревнованиях Челябинской области по триатлону на 2026 г.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tabs>
          <w:tab w:val="left" w:leader="none" w:pos="709"/>
        </w:tabs>
        <w:spacing w:line="276" w:lineRule="auto"/>
        <w:ind w:hanging="708" w:left="708"/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РАСПИСАНИЕ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line="276" w:lineRule="auto"/>
        <w:ind w:hanging="708" w:left="708"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   </w:t>
      </w:r>
      <w:r>
        <w:rPr>
          <w:sz w:val="28"/>
          <w:szCs w:val="28"/>
          <w:highlight w:val="none"/>
        </w:rPr>
        <w:t xml:space="preserve">  </w:t>
      </w:r>
      <w:r>
        <w:rPr>
          <w:b/>
          <w:bCs/>
          <w:sz w:val="28"/>
          <w:szCs w:val="28"/>
          <w:highlight w:val="none"/>
          <w:u w:val="single"/>
        </w:rPr>
        <w:t xml:space="preserve">14 июля, вторник – день приезда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line="276" w:lineRule="auto"/>
        <w:ind w:hanging="708" w:left="708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14:30-16:30 - </w:t>
      </w:r>
      <w:r>
        <w:rPr>
          <w:sz w:val="28"/>
          <w:szCs w:val="28"/>
          <w:highlight w:val="none"/>
        </w:rPr>
        <w:t xml:space="preserve">работа комиссии по допуску 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line="276" w:lineRule="auto"/>
        <w:ind w:hanging="708" w:left="708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17:00 – совещание с представителями команд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line="276" w:lineRule="auto"/>
        <w:ind w:hanging="708" w:left="708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17:30 – брифинг для спортсменов.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line="276" w:lineRule="auto"/>
        <w:ind w:hanging="708" w:left="708"/>
        <w:jc w:val="center"/>
        <w:rPr>
          <w:b/>
          <w:bCs/>
          <w:sz w:val="28"/>
          <w:szCs w:val="28"/>
          <w:highlight w:val="none"/>
          <w:u w:val="single"/>
        </w:rPr>
      </w:pPr>
      <w:r>
        <w:rPr>
          <w:b/>
          <w:bCs/>
          <w:sz w:val="28"/>
          <w:szCs w:val="28"/>
          <w:highlight w:val="none"/>
          <w:u w:val="single"/>
        </w:rPr>
        <w:t xml:space="preserve">15 июля, среда – день соревнований</w:t>
      </w:r>
      <w:r>
        <w:rPr>
          <w:b/>
          <w:bCs/>
          <w:sz w:val="28"/>
          <w:szCs w:val="28"/>
          <w:highlight w:val="none"/>
          <w:u w:val="single"/>
        </w:rPr>
      </w:r>
      <w:r>
        <w:rPr>
          <w:b/>
          <w:bCs/>
          <w:sz w:val="28"/>
          <w:szCs w:val="28"/>
          <w:highlight w:val="none"/>
          <w:u w:val="single"/>
        </w:rPr>
      </w:r>
    </w:p>
    <w:p>
      <w:pPr>
        <w:pBdr/>
        <w:tabs>
          <w:tab w:val="left" w:leader="none" w:pos="709"/>
        </w:tabs>
        <w:spacing w:line="276" w:lineRule="auto"/>
        <w:ind w:hanging="708" w:left="708"/>
        <w:jc w:val="lef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11:30 -12:00 </w:t>
      </w:r>
      <w:r>
        <w:rPr>
          <w:sz w:val="28"/>
          <w:szCs w:val="28"/>
          <w:highlight w:val="none"/>
        </w:rPr>
        <w:t xml:space="preserve">– открыта транзитная зона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line="276" w:lineRule="auto"/>
        <w:ind w:hanging="708" w:left="708"/>
        <w:jc w:val="lef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12:00 – предстартовое построение юношей 13-14, 15-17 лет;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line="276" w:lineRule="auto"/>
        <w:ind w:hanging="708" w:left="708"/>
        <w:jc w:val="lef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12:10 – старт юношей 13-14,15-17</w:t>
      </w:r>
      <w:r>
        <w:rPr>
          <w:sz w:val="28"/>
          <w:szCs w:val="28"/>
          <w:highlight w:val="none"/>
        </w:rPr>
        <w:t xml:space="preserve"> лет;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line="276" w:lineRule="auto"/>
        <w:ind w:hanging="708" w:left="708"/>
        <w:jc w:val="lef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12:13 – старт </w:t>
      </w:r>
      <w:r>
        <w:rPr>
          <w:sz w:val="28"/>
          <w:szCs w:val="28"/>
          <w:highlight w:val="none"/>
        </w:rPr>
        <w:t xml:space="preserve">девушек13-14,15-17 лет;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line="276" w:lineRule="auto"/>
        <w:ind w:hanging="708" w:left="708"/>
        <w:jc w:val="lef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13:15 – церемония награждения.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line="276" w:lineRule="auto"/>
        <w:ind w:hanging="708" w:left="708"/>
        <w:jc w:val="center"/>
        <w:rPr>
          <w:b/>
          <w:bCs/>
          <w:sz w:val="28"/>
          <w:szCs w:val="28"/>
          <w:highlight w:val="none"/>
          <w:u w:val="single"/>
        </w:rPr>
      </w:pPr>
      <w:r>
        <w:rPr>
          <w:b/>
          <w:bCs/>
          <w:sz w:val="28"/>
          <w:szCs w:val="28"/>
          <w:highlight w:val="none"/>
          <w:u w:val="single"/>
        </w:rPr>
        <w:t xml:space="preserve">16 июля, четверг– день отъезда</w:t>
      </w:r>
      <w:r>
        <w:rPr>
          <w:b/>
          <w:bCs/>
          <w:sz w:val="28"/>
          <w:szCs w:val="28"/>
          <w:highlight w:val="none"/>
          <w:u w:val="single"/>
        </w:rPr>
      </w:r>
      <w:r>
        <w:rPr>
          <w:b/>
          <w:bCs/>
          <w:sz w:val="28"/>
          <w:szCs w:val="28"/>
          <w:highlight w:val="none"/>
          <w:u w:val="single"/>
        </w:rPr>
      </w:r>
    </w:p>
    <w:p>
      <w:pPr>
        <w:pBdr/>
        <w:tabs>
          <w:tab w:val="left" w:leader="none" w:pos="709"/>
        </w:tabs>
        <w:spacing w:line="276" w:lineRule="auto"/>
        <w:ind w:hanging="708" w:left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 совещании ГСК с представителями команд в регламенте соревнований могут быть внесены изменения.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line="276" w:lineRule="auto"/>
        <w:ind w:hanging="708" w:left="708"/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6. УСЛОВИЯ ПОДВЕДЕНИЯ ИТОГОВ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Победители  и  призеры  спортивных  соревнований  определяются  </w:t>
      </w:r>
      <w:r>
        <w:rPr>
          <w:sz w:val="28"/>
          <w:szCs w:val="28"/>
        </w:rPr>
        <w:t xml:space="preserve">по наименьшему финишному времени.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Протесты подаются в соответствии с Правилами.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К протесту прилагается депозит в сумме 5000 рублей. Все протесты рассматривает апелляционное жюри соревнований. В случае если протест удовлетворен, депозит возвращается заявителю.Если протест не удовлетворен депозит остается в оргкомитете.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Официальные результаты Соревнований публикуются на сайте  Минспорта  </w:t>
      </w:r>
      <w:r>
        <w:rPr>
          <w:sz w:val="28"/>
          <w:szCs w:val="28"/>
          <w:lang w:val="ru-RU"/>
        </w:rPr>
        <w:t xml:space="preserve">Челябинской области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и являются окончательными.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  <w:lang w:val="ru-RU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7. </w:t>
      </w:r>
      <w:r>
        <w:rPr>
          <w:b/>
          <w:bCs/>
          <w:sz w:val="28"/>
          <w:szCs w:val="28"/>
          <w:lang w:val="ru-RU"/>
        </w:rPr>
        <w:t xml:space="preserve">НАГРАЖДЕНИЕ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Спортсмены-победители  и  призёры  спортивных  соревнований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награждаются  медалями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и грамотами.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Тренеры  спортсменов-победителей  спортивных  соревнований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награждаются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грамотами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Спортсмены-победители, спортсмены занявшие 2-3 места, участвующие в церемонии награждения, должны присутствовать согласно расписанию в парадной форме, в стартовом костюме или в длинном спортивном костюме, в спортивной закрытой обуви.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b/>
          <w:bCs/>
          <w:highlight w:val="none"/>
          <w:lang w:val="ru-RU"/>
        </w:rPr>
      </w:pPr>
      <w:r>
        <w:rPr>
          <w:b/>
          <w:bCs/>
          <w:highlight w:val="none"/>
          <w:lang w:val="ru-RU"/>
        </w:rPr>
      </w:r>
      <w:r>
        <w:rPr>
          <w:b/>
          <w:bCs/>
          <w:highlight w:val="none"/>
          <w:lang w:val="ru-RU"/>
        </w:rPr>
      </w:r>
      <w:r>
        <w:rPr>
          <w:b/>
          <w:bCs/>
          <w:highlight w:val="none"/>
          <w:lang w:val="ru-RU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8. У</w:t>
      </w:r>
      <w:r>
        <w:rPr>
          <w:b/>
          <w:bCs/>
          <w:sz w:val="28"/>
          <w:szCs w:val="28"/>
          <w:lang w:val="ru-RU"/>
        </w:rPr>
        <w:t xml:space="preserve">СЛОВИЯ ФИНАНСИРОВАНИЯ</w:t>
      </w:r>
      <w:r>
        <w:rPr>
          <w:lang w:val="ru-RU"/>
        </w:rPr>
        <w:t xml:space="preserve">    </w:t>
      </w:r>
      <w:r>
        <w:rPr>
          <w:lang w:val="ru-RU"/>
        </w:rPr>
        <w:t xml:space="preserve">   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82"/>
        <w:pBdr/>
        <w:spacing/>
        <w:ind w:firstLine="708" w:left="0"/>
        <w:jc w:val="both"/>
        <w:rPr>
          <w:lang w:val="ru-RU"/>
        </w:rPr>
      </w:pPr>
      <w:r>
        <w:rPr>
          <w:lang w:val="ru-RU"/>
        </w:rPr>
        <w:t xml:space="preserve">Расходы по командированию (проезд, питание, размещение и страхование) участников соревнований обеспечивают  командирующие организации. </w:t>
      </w:r>
      <w:r>
        <w:rPr>
          <w:lang w:val="ru-RU"/>
        </w:rPr>
      </w:r>
      <w:r>
        <w:rPr>
          <w:lang w:val="ru-RU"/>
        </w:rPr>
      </w:r>
    </w:p>
    <w:p>
      <w:pPr>
        <w:widowControl w:val="false"/>
        <w:pBdr/>
        <w:spacing w:line="276" w:lineRule="auto"/>
        <w:ind w:firstLine="708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Участники соревнований, которые на официальные даты проведения мероприятия не достигли 18 лет</w:t>
      </w:r>
      <w:r>
        <w:rPr>
          <w:sz w:val="28"/>
          <w:szCs w:val="28"/>
        </w:rPr>
        <w:t xml:space="preserve">, о</w:t>
      </w:r>
      <w:r>
        <w:rPr>
          <w:sz w:val="28"/>
          <w:szCs w:val="28"/>
        </w:rPr>
        <w:t xml:space="preserve">свобождаются от уплаты стартового взноса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widowControl w:val="false"/>
        <w:pBdr/>
        <w:spacing w:line="276" w:lineRule="auto"/>
        <w:ind w:firstLine="708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widowControl w:val="false"/>
        <w:pBdr/>
        <w:spacing w:line="276" w:lineRule="auto"/>
        <w:ind w:firstLine="708"/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9. ЗАЯВКИ НА УЧАСТИЕ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widowControl w:val="false"/>
        <w:pBdr/>
        <w:spacing w:line="276" w:lineRule="auto"/>
        <w:ind w:firstLine="0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       Регистрация участников в соревнованиях на сайте </w:t>
      </w:r>
      <w:r>
        <w:rPr>
          <w:sz w:val="28"/>
          <w:szCs w:val="28"/>
          <w:highlight w:val="none"/>
          <w:lang w:val="en-US"/>
        </w:rPr>
        <w:t xml:space="preserve">Orgeo </w:t>
      </w:r>
      <w:r>
        <w:rPr>
          <w:sz w:val="28"/>
          <w:szCs w:val="28"/>
          <w:highlight w:val="none"/>
          <w:lang w:val="ru-RU"/>
        </w:rPr>
        <w:t xml:space="preserve">до 23:55 28 июня 2026 г.</w:t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widowControl w:val="false"/>
        <w:pBdr/>
        <w:spacing w:line="276" w:lineRule="auto"/>
        <w:ind w:firstLine="0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  <w:lang w:val="ru-RU" w:bidi="ru-RU"/>
        </w:rPr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pBdr/>
        <w:spacing w:after="0" w:line="240" w:lineRule="auto"/>
        <w:ind w:firstLine="708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10. ОБЕСПЕЧЕНИЕ БЕЗОПАСНОСТИ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pStyle w:val="785"/>
        <w:pBdr/>
        <w:spacing w:after="31" w:line="240" w:lineRule="auto"/>
        <w:ind w:firstLine="567" w:left="0"/>
        <w:jc w:val="both"/>
        <w:rPr>
          <w:sz w:val="28"/>
          <w:szCs w:val="28"/>
        </w:rPr>
      </w:pPr>
      <w:r>
        <w:rPr>
          <w:lang w:val="ru-RU"/>
        </w:rPr>
      </w:r>
      <w:r>
        <w:rPr>
          <w:sz w:val="28"/>
          <w:szCs w:val="28"/>
          <w:lang w:val="ru-RU"/>
        </w:rPr>
        <w:t xml:space="preserve">С</w:t>
      </w:r>
      <w:r>
        <w:rPr>
          <w:sz w:val="28"/>
          <w:szCs w:val="28"/>
          <w:lang w:val="ru-RU"/>
        </w:rPr>
        <w:t xml:space="preserve">оревнования проводятся на спортивных сооружениях, отвечающих требованиям соответствующих нормативных правовых актов</w:t>
      </w:r>
      <w:r>
        <w:rPr>
          <w:sz w:val="28"/>
          <w:szCs w:val="28"/>
          <w:lang w:val="ru-RU"/>
        </w:rPr>
        <w:t xml:space="preserve">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наличии актов готовности объекта спорта к проведению соревнований, утверждаемых в установленном порядке.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85"/>
        <w:pBdr/>
        <w:spacing w:line="240" w:lineRule="auto"/>
        <w:ind w:right="1" w:firstLine="713" w:left="-5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РОО «Федерация триатлона Челябинской области и принимающая</w:t>
      </w:r>
      <w:r>
        <w:rPr>
          <w:sz w:val="28"/>
          <w:szCs w:val="28"/>
          <w:lang w:val="ru-RU"/>
        </w:rPr>
        <w:t xml:space="preserve"> организация в целях обеспечения общественного порядка и общественной безопасности и соблюдения административных запретов на посещение мест проведения соревнований в дни их проведения в срок до тридцати календарных дней до д</w:t>
      </w:r>
      <w:r>
        <w:rPr>
          <w:sz w:val="28"/>
          <w:szCs w:val="28"/>
          <w:lang w:val="ru-RU"/>
        </w:rPr>
        <w:t xml:space="preserve">ня начала проведения соревнований уведомляет соответствующий территориальный орган федерального органа исполнительной власти в сфере внутренних дел о месте, дате и сроке проведения соревнований и незамедлительно сообщает об изменении указанной информации.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85"/>
        <w:pBdr/>
        <w:spacing w:after="3" w:line="240" w:lineRule="auto"/>
        <w:ind w:left="-5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  <w:tab/>
      </w:r>
      <w:r>
        <w:rPr>
          <w:sz w:val="28"/>
          <w:szCs w:val="28"/>
          <w:lang w:val="ru-RU"/>
        </w:rPr>
        <w:t xml:space="preserve">О</w:t>
      </w:r>
      <w:r>
        <w:rPr>
          <w:sz w:val="28"/>
          <w:szCs w:val="28"/>
          <w:lang w:val="ru-RU"/>
        </w:rPr>
        <w:t xml:space="preserve">беспечение безопасности участников и зрителей осуществляется согласно требованиям Правил обеспечения безопасности при проведении официальных </w:t>
      </w:r>
      <w:r>
        <w:rPr>
          <w:sz w:val="28"/>
          <w:szCs w:val="28"/>
          <w:lang w:val="ru-RU"/>
        </w:rPr>
        <w:t xml:space="preserve">спортивных соревнований, утвержденных постановлением Правительства Российской Федерации от 18 апреля 2014 года № 353.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85"/>
        <w:pBdr/>
        <w:spacing w:line="240" w:lineRule="auto"/>
        <w:ind w:right="1" w:firstLine="713" w:left="-5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РОО «Федерация триатлона Челябинской области» совместно с собст</w:t>
      </w:r>
      <w:r>
        <w:rPr>
          <w:sz w:val="28"/>
          <w:szCs w:val="28"/>
          <w:lang w:val="ru-RU"/>
        </w:rPr>
        <w:t xml:space="preserve">венником (пользователем) объекта спорта разрабатывает и утверждает по согласованию с территориальным органом внутренних дел план мероприятий по обеспечению общественной безопасности и общественного порядка в срок не позднее 10 дней до начала соревнований.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2"/>
        <w:pBdr/>
        <w:spacing/>
        <w:ind w:firstLine="698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Участие в спортивных соревнованиях осуществляется только при наличии оригинала полиса страхования жизни и здоровья от несчастных случаев, который представляется в комиссию по допуску участников соревнований н</w:t>
      </w:r>
      <w:r>
        <w:rPr>
          <w:sz w:val="28"/>
          <w:szCs w:val="28"/>
          <w:lang w:val="ru-RU"/>
        </w:rPr>
        <w:t xml:space="preserve">а каждого из них. Страхование участников спортивных соревнований может производиться как за счет бюджетных средств субъектов Российской Федерации, так и внебюджетных средств в соответствии с законодательством Российской Федерации. Оказание медицинской помо</w:t>
      </w:r>
      <w:r>
        <w:rPr>
          <w:sz w:val="28"/>
          <w:szCs w:val="28"/>
          <w:lang w:val="ru-RU"/>
        </w:rPr>
        <w:t xml:space="preserve">щи осуществляется в соответствии с приказом Министерства здравоохранения Российской      Федерации    от    23.10.2020  г.  №1144н   «Об  утверждении  </w:t>
        <w:tab/>
        <w:t xml:space="preserve">порядка организации </w:t>
        <w:tab/>
        <w:t xml:space="preserve">оказания </w:t>
        <w:tab/>
        <w:t xml:space="preserve">медицинской </w:t>
        <w:tab/>
        <w:t xml:space="preserve">помощи лицам, занимающимся физической культурой и спортом…»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2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  <w:tab/>
      </w:r>
      <w:r>
        <w:rPr>
          <w:sz w:val="28"/>
          <w:szCs w:val="28"/>
          <w:lang w:val="ru-RU"/>
        </w:rPr>
        <w:t xml:space="preserve">Основанием для допуска спортсмена к спортивным соревнованиям по медицинским заключениям является заявка </w:t>
      </w:r>
      <w:r>
        <w:rPr>
          <w:sz w:val="28"/>
          <w:szCs w:val="28"/>
          <w:lang w:val="ru-RU"/>
        </w:rPr>
        <w:t xml:space="preserve">на участие в спортивных соревнованиях с отметкой «Допущен» напротив каждой фамилии спортсмена, заверенная подписью врача по спортивной медицине и его личной печатью. Заявка на участие в спортивных соревнованиях подписывается врачом по спортивной медицине.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2"/>
        <w:pBdr/>
        <w:spacing/>
        <w:ind w:firstLine="708"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РОО «Федерация триатлона Челябинской области» обеспечивает участников соревнования медицинским персоналом для контроля наличия у участников со</w:t>
      </w:r>
      <w:r>
        <w:rPr>
          <w:sz w:val="28"/>
          <w:szCs w:val="28"/>
          <w:lang w:val="ru-RU"/>
        </w:rPr>
        <w:t xml:space="preserve">ревнований медицинских справок, подтверждающих состояние здоровья и возможность допуска спортсменов к соревнованиям, проведения перед соревнованиями и во время соревнований медицинских осмотров, оказания, в случае необходимости, скорой медицинской помощи.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82"/>
        <w:pBdr/>
        <w:spacing/>
        <w:ind w:firstLine="708" w:left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lang w:val="ru-RU"/>
        </w:rPr>
      </w:r>
      <w:r>
        <w:rPr>
          <w:color w:val="000000"/>
          <w:sz w:val="28"/>
          <w:szCs w:val="28"/>
        </w:rPr>
        <w:t xml:space="preserve">Ответственность за обеспечение общественного порядка и обществен</w:t>
      </w:r>
      <w:r>
        <w:rPr>
          <w:color w:val="000000"/>
          <w:sz w:val="28"/>
          <w:szCs w:val="28"/>
        </w:rPr>
        <w:t xml:space="preserve">ной безопасности в период проведения Соревнований, за составление и утверждение акта о готовности места проведения Соревнований (за сутки до их начала) и акта осмотра места проведения Соревнований (за три часа до начала Соревнований) возлагается на организ</w:t>
      </w:r>
      <w:r>
        <w:rPr>
          <w:color w:val="000000"/>
          <w:sz w:val="28"/>
          <w:szCs w:val="28"/>
        </w:rPr>
        <w:t xml:space="preserve">атора Соревнований</w:t>
      </w:r>
      <w:r>
        <w:rPr>
          <w:color w:val="000000"/>
          <w:sz w:val="28"/>
          <w:szCs w:val="28"/>
          <w:lang w:eastAsia="ar-SA"/>
        </w:rPr>
        <w:t xml:space="preserve">.</w:t>
      </w:r>
      <w:r>
        <w:rPr>
          <w:color w:val="000000"/>
          <w:sz w:val="28"/>
          <w:szCs w:val="28"/>
          <w:lang w:eastAsia="ar-SA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tabs>
          <w:tab w:val="left" w:leader="none" w:pos="1030"/>
        </w:tabs>
        <w:spacing w:after="0" w:before="0" w:line="240" w:lineRule="auto"/>
        <w:ind w:right="141" w:firstLine="0" w:left="0"/>
        <w:jc w:val="both"/>
        <w:rPr>
          <w:sz w:val="28"/>
        </w:rPr>
      </w:pPr>
      <w:r>
        <w:rPr>
          <w:sz w:val="28"/>
          <w:szCs w:val="28"/>
          <w:lang w:val="ru-RU"/>
        </w:rPr>
        <w:t xml:space="preserve"> </w:t>
        <w:tab/>
      </w:r>
      <w:r>
        <w:rPr>
          <w:sz w:val="28"/>
        </w:rPr>
        <w:t xml:space="preserve">Антидопинговое обеспечение спортивных мероприятий в Российской Федерации осуществляется в соответствии с Общероссийскими антидопинговыми правилами (далее – Антидопинговые правила), утвержденными приказом Минспорта России от </w:t>
      </w:r>
      <w:r>
        <w:rPr>
          <w:sz w:val="28"/>
          <w:szCs w:val="28"/>
          <w:lang w:val="ru-RU"/>
        </w:rPr>
        <w:t xml:space="preserve">19</w:t>
      </w:r>
      <w:r>
        <w:rPr>
          <w:sz w:val="28"/>
        </w:rPr>
        <w:t xml:space="preserve"> </w:t>
      </w:r>
      <w:r>
        <w:rPr>
          <w:sz w:val="28"/>
          <w:szCs w:val="28"/>
          <w:lang w:val="ru-RU"/>
        </w:rPr>
        <w:t xml:space="preserve">января</w:t>
      </w:r>
      <w:r>
        <w:rPr>
          <w:sz w:val="28"/>
        </w:rPr>
        <w:t xml:space="preserve"> 202</w:t>
      </w:r>
      <w:r>
        <w:rPr>
          <w:sz w:val="28"/>
          <w:szCs w:val="28"/>
          <w:lang w:val="ru-RU"/>
        </w:rPr>
        <w:t xml:space="preserve">6</w:t>
      </w:r>
      <w:r>
        <w:rPr>
          <w:sz w:val="28"/>
        </w:rPr>
        <w:t xml:space="preserve"> года.</w:t>
      </w:r>
      <w:r>
        <w:rPr>
          <w:sz w:val="28"/>
        </w:rPr>
      </w:r>
      <w:r>
        <w:rPr>
          <w:sz w:val="28"/>
        </w:rPr>
      </w:r>
    </w:p>
    <w:p>
      <w:pPr>
        <w:pStyle w:val="785"/>
        <w:pBdr/>
        <w:spacing w:line="240" w:lineRule="auto"/>
        <w:ind w:right="50" w:firstLine="708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При перевозке участников соревнований автобусами руководствоваться Правилами организованной перевозки группы детей автобусами, утверждёнными постанов</w:t>
      </w:r>
      <w:r>
        <w:rPr>
          <w:sz w:val="28"/>
          <w:szCs w:val="28"/>
          <w:lang w:val="ru-RU"/>
        </w:rPr>
        <w:t xml:space="preserve">лением Правительства Российской Федерации от 23.09.2020 г. № 1527, а также Правилами перевозок пассажиров и багажа автомобильным транспортом и городским наземным электрическим транспортом, утвержденными постановлением Правительства РФ от 01.10.2020 № 1586.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85"/>
        <w:pBdr/>
        <w:spacing w:after="31" w:line="240" w:lineRule="auto"/>
        <w:ind w:firstLine="708"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Ответственность за соблюдение положения</w:t>
      </w:r>
      <w:r>
        <w:rPr>
          <w:sz w:val="28"/>
          <w:szCs w:val="28"/>
          <w:lang w:val="ru-RU"/>
        </w:rPr>
        <w:t xml:space="preserve"> (с учетом дополнений и изменений), возлагается на РОО «Федерацию триатлона Челябинской области» в лице Конча Степана Сергеевича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Статья 152.1 ГК РФ Охрана изображения гражданина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«Принимая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участие в мероприятии, каждый участник даёт своё согласие на фото и/или видеосъёмку и последующую их публикацию на официальных страницах в социальных сетях и на официальных сайтах Управления ФКиС Администрации города Миасса и подведомственных учреждений».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false"/>
        <w:pBdr/>
        <w:spacing w:line="276" w:lineRule="auto"/>
        <w:ind w:firstLine="0"/>
        <w:jc w:val="both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  <w:lang w:val="ru-RU" w:bidi="ru-RU"/>
        </w:rPr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widowControl w:val="false"/>
        <w:pBdr/>
        <w:spacing w:line="276" w:lineRule="auto"/>
        <w:ind w:firstLine="708"/>
        <w:jc w:val="center"/>
        <w:rPr>
          <w:b/>
          <w:bCs/>
          <w:sz w:val="28"/>
          <w:szCs w:val="28"/>
          <w:highlight w:val="none"/>
          <w:lang w:val="ru-RU"/>
        </w:rPr>
      </w:pPr>
      <w:r>
        <w:rPr>
          <w:b/>
          <w:bCs/>
          <w:sz w:val="28"/>
          <w:szCs w:val="28"/>
          <w:highlight w:val="none"/>
          <w:lang w:val="ru-RU"/>
        </w:rPr>
        <w:t xml:space="preserve">11. КОНТАКТЫ ОРГАНИЗАТОРОВ</w:t>
      </w:r>
      <w:r>
        <w:rPr>
          <w:b/>
          <w:bCs/>
          <w:sz w:val="28"/>
          <w:szCs w:val="28"/>
          <w:highlight w:val="none"/>
          <w:lang w:val="ru-RU"/>
        </w:rPr>
      </w:r>
      <w:r>
        <w:rPr>
          <w:b/>
          <w:bCs/>
          <w:sz w:val="28"/>
          <w:szCs w:val="28"/>
          <w:highlight w:val="none"/>
          <w:lang w:val="ru-RU"/>
        </w:rPr>
      </w:r>
    </w:p>
    <w:p>
      <w:pPr>
        <w:widowControl w:val="false"/>
        <w:pBdr/>
        <w:spacing w:line="276" w:lineRule="auto"/>
        <w:ind w:firstLine="708"/>
        <w:jc w:val="left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  <w:lang w:val="ru-RU" w:bidi="ru-RU"/>
        </w:rPr>
        <w:t xml:space="preserve">Конча Степан Сергеевич +79068612116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widowControl w:val="false"/>
        <w:pBdr/>
        <w:spacing w:line="276" w:lineRule="auto"/>
        <w:ind w:firstLine="708"/>
        <w:jc w:val="left"/>
        <w:rPr>
          <w:b w:val="0"/>
          <w:bCs w:val="0"/>
          <w:sz w:val="28"/>
          <w:szCs w:val="28"/>
          <w:highlight w:val="none"/>
          <w:lang w:val="ru-RU"/>
        </w:rPr>
      </w:pPr>
      <w:r>
        <w:rPr>
          <w:b w:val="0"/>
          <w:bCs w:val="0"/>
          <w:sz w:val="28"/>
          <w:szCs w:val="28"/>
          <w:highlight w:val="none"/>
          <w:lang w:val="ru-RU"/>
        </w:rPr>
        <w:t xml:space="preserve">Бородина Елена Валентиновна +79058333803</w:t>
      </w:r>
      <w:r/>
      <w:r>
        <w:rPr>
          <w:b w:val="0"/>
          <w:bCs w:val="0"/>
          <w:sz w:val="28"/>
          <w:szCs w:val="28"/>
          <w:highlight w:val="none"/>
          <w:lang w:val="ru-RU"/>
        </w:rPr>
      </w:r>
      <w:r>
        <w:rPr>
          <w:b w:val="0"/>
          <w:bCs w:val="0"/>
          <w:sz w:val="28"/>
          <w:szCs w:val="28"/>
          <w:highlight w:val="none"/>
          <w:lang w:val="ru-RU"/>
        </w:rPr>
      </w:r>
      <w:r>
        <w:rPr>
          <w:b w:val="0"/>
          <w:bCs w:val="0"/>
          <w:sz w:val="28"/>
          <w:szCs w:val="28"/>
          <w:highlight w:val="none"/>
          <w:lang w:val="ru-RU"/>
        </w:rPr>
      </w:r>
    </w:p>
    <w:sectPr>
      <w:footnotePr/>
      <w:endnotePr/>
      <w:type w:val="continuous"/>
      <w:pgSz w:h="16838" w:orient="portrait" w:w="11906"/>
      <w:pgMar w:top="709" w:right="566" w:bottom="899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065"/>
        </w:tabs>
        <w:spacing/>
        <w:ind w:hanging="705" w:left="1065"/>
      </w:pPr>
      <w:rPr>
        <w:b/>
      </w:rPr>
      <w:start w:val="1"/>
      <w:suff w:val="tab"/>
    </w:lvl>
    <w:lvl w:ilvl="1">
      <w:isLgl w:val="false"/>
      <w:lvlJc w:val="left"/>
      <w:lvlText w:val="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Symbol" w:hAnsi="Symbol"/>
        <w:color w:val="000000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"/>
      <w:numFmt w:val="bullet"/>
      <w:pPr>
        <w:pBdr/>
        <w:tabs>
          <w:tab w:val="num" w:leader="none" w:pos="644"/>
        </w:tabs>
        <w:spacing/>
        <w:ind w:hanging="360" w:left="644"/>
      </w:pPr>
      <w:rPr>
        <w:rFonts w:ascii="Symbol" w:hAnsi="Symbol"/>
        <w:color w:val="00000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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  <w:color w:val="00000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28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0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2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4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6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8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0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2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4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b/>
        <w:i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90" w:left="390"/>
      </w:pPr>
      <w:rPr/>
      <w:start w:val="7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287"/>
      </w:pPr>
      <w:rPr>
        <w:b w:val="0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5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781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348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4275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4842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5769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6336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284" w:left="794"/>
      </w:pPr>
      <w:rPr>
        <w:b/>
        <w:i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90" w:left="39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firstLine="0" w:left="567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5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781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348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4275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4842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5769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6336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tabs>
          <w:tab w:val="num" w:leader="none" w:pos="1065"/>
        </w:tabs>
        <w:spacing/>
        <w:ind w:hanging="705" w:left="1065"/>
      </w:pPr>
      <w:rPr>
        <w:b/>
      </w:rPr>
      <w:start w:val="1"/>
      <w:suff w:val="tab"/>
    </w:lvl>
    <w:lvl w:ilvl="1">
      <w:isLgl w:val="false"/>
      <w:lvlJc w:val="left"/>
      <w:lvlText w:val=""/>
      <w:numFmt w:val="bullet"/>
      <w:pPr>
        <w:pBdr/>
        <w:tabs>
          <w:tab w:val="num" w:leader="none" w:pos="1637"/>
        </w:tabs>
        <w:spacing/>
        <w:ind w:hanging="360" w:left="1637"/>
      </w:pPr>
      <w:rPr>
        <w:rFonts w:ascii="Symbol" w:hAnsi="Symbol"/>
        <w:color w:val="000000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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ascii="Symbol" w:hAnsi="Symbol"/>
        <w:color w:val="00000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840"/>
        </w:tabs>
        <w:spacing/>
        <w:ind w:hanging="360" w:left="6840"/>
      </w:pPr>
      <w:rPr>
        <w:rFonts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tabs>
          <w:tab w:val="num" w:leader="none" w:pos="1065"/>
        </w:tabs>
        <w:spacing/>
        <w:ind w:hanging="705" w:left="106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tabs>
          <w:tab w:val="num" w:leader="none" w:pos="1065"/>
        </w:tabs>
        <w:spacing/>
        <w:ind w:hanging="705" w:left="1065"/>
      </w:pPr>
      <w:rPr>
        <w:b/>
      </w:rPr>
      <w:start w:val="1"/>
      <w:suff w:val="tab"/>
    </w:lvl>
    <w:lvl w:ilvl="1">
      <w:isLgl w:val="false"/>
      <w:lvlJc w:val="left"/>
      <w:lvlText w:val=""/>
      <w:numFmt w:val="bullet"/>
      <w:pPr>
        <w:pBdr/>
        <w:tabs>
          <w:tab w:val="num" w:leader="none" w:pos="1637"/>
        </w:tabs>
        <w:spacing/>
        <w:ind w:hanging="360" w:left="1637"/>
      </w:pPr>
      <w:rPr>
        <w:rFonts w:ascii="Symbol" w:hAnsi="Symbol"/>
        <w:color w:val="000000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3">
    <w:lvl w:ilvl="0">
      <w:isLgl w:val="false"/>
      <w:lvlJc w:val="left"/>
      <w:lvlText w:val="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ymbol" w:hAnsi="Symbol"/>
        <w:color w:val="00000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b/>
      </w:rPr>
      <w:start w:val="3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1070"/>
      </w:pPr>
      <w:rPr>
        <w:b w:val="0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b w:val="0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720"/>
      </w:pPr>
      <w:rPr>
        <w:b w:val="0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b w:val="0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1080"/>
      </w:pPr>
      <w:rPr>
        <w:b w:val="0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b w:val="0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440"/>
      </w:pPr>
      <w:rPr>
        <w:b w:val="0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b w:val="0"/>
      </w:rPr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tabs>
          <w:tab w:val="num" w:leader="none" w:pos="1413"/>
        </w:tabs>
        <w:spacing/>
        <w:ind w:hanging="227" w:left="1487"/>
      </w:pPr>
      <w:rPr>
        <w:b/>
        <w:i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6">
    <w:lvl w:ilvl="0">
      <w:isLgl w:val="false"/>
      <w:lvlJc w:val="left"/>
      <w:lvlText w:val="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  <w:color w:val="00000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128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0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2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4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6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8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0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2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47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b/>
      </w:rPr>
      <w:start w:val="3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1070"/>
      </w:pPr>
      <w:rPr>
        <w:b w:val="0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b w:val="0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720"/>
      </w:pPr>
      <w:rPr>
        <w:b w:val="0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b w:val="0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1080"/>
      </w:pPr>
      <w:rPr>
        <w:b w:val="0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b w:val="0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440"/>
      </w:pPr>
      <w:rPr>
        <w:b w:val="0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b w:val="0"/>
      </w:rPr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tabs>
          <w:tab w:val="num" w:leader="none" w:pos="1065"/>
        </w:tabs>
        <w:spacing/>
        <w:ind w:hanging="705" w:left="1065"/>
      </w:pPr>
      <w:rPr>
        <w:b/>
      </w:rPr>
      <w:start w:val="1"/>
      <w:suff w:val="tab"/>
    </w:lvl>
    <w:lvl w:ilvl="1">
      <w:isLgl w:val="false"/>
      <w:lvlJc w:val="left"/>
      <w:lvlText w:val="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Symbol" w:hAnsi="Symbol"/>
        <w:color w:val="000000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2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3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4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5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6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7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8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9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2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15"/>
  </w:num>
  <w:num w:numId="2">
    <w:abstractNumId w:val="2"/>
  </w:num>
  <w:num w:numId="3">
    <w:abstractNumId w:val="4"/>
  </w:num>
  <w:num w:numId="4">
    <w:abstractNumId w:val="6"/>
  </w:num>
  <w:num w:numId="5">
    <w:abstractNumId w:val="10"/>
  </w:num>
  <w:num w:numId="6">
    <w:abstractNumId w:val="8"/>
  </w:num>
  <w:num w:numId="7">
    <w:abstractNumId w:val="13"/>
  </w:num>
  <w:num w:numId="8">
    <w:abstractNumId w:val="16"/>
  </w:num>
  <w:num w:numId="9">
    <w:abstractNumId w:val="1"/>
  </w:num>
  <w:num w:numId="10">
    <w:abstractNumId w:val="11"/>
  </w:num>
  <w:num w:numId="11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9"/>
  </w:num>
  <w:num w:numId="14">
    <w:abstractNumId w:val="0"/>
  </w:num>
  <w:num w:numId="15">
    <w:abstractNumId w:val="7"/>
  </w:num>
  <w:num w:numId="16">
    <w:abstractNumId w:val="17"/>
  </w:num>
  <w:num w:numId="17">
    <w:abstractNumId w:val="14"/>
  </w:num>
  <w:num w:numId="18">
    <w:abstractNumId w:val="5"/>
  </w:num>
  <w:num w:numId="19">
    <w:abstractNumId w:val="18"/>
  </w:num>
  <w:num w:numId="20">
    <w:abstractNumId w:val="12"/>
  </w:num>
  <w:num w:numId="21">
    <w:abstractNumId w:val="3"/>
  </w:num>
  <w:num w:numId="22">
    <w:abstractNumId w:val="20"/>
  </w:num>
  <w:num w:numId="23">
    <w:abstractNumId w:val="21"/>
  </w:num>
  <w:num w:numId="24">
    <w:abstractNumId w:val="22"/>
  </w:num>
  <w:num w:numId="25">
    <w:abstractNumId w:val="23"/>
  </w:num>
  <w:num w:numId="26">
    <w:abstractNumId w:val="24"/>
  </w:num>
  <w:num w:numId="27">
    <w:abstractNumId w:val="25"/>
  </w:num>
  <w:num w:numId="28">
    <w:abstractNumId w:val="26"/>
  </w:num>
  <w:num w:numId="29">
    <w:abstractNumId w:val="27"/>
  </w:num>
  <w:num w:numId="30">
    <w:abstractNumId w:val="28"/>
  </w:num>
  <w:num w:numId="31">
    <w:abstractNumId w:val="29"/>
  </w:num>
  <w:num w:numId="32">
    <w:abstractNumId w:val="30"/>
  </w:num>
  <w:num w:numId="33">
    <w:abstractNumId w:val="31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8">
    <w:name w:val="Heading 1 Char"/>
    <w:basedOn w:val="795"/>
    <w:link w:val="78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69">
    <w:name w:val="Heading 2 Char"/>
    <w:basedOn w:val="795"/>
    <w:link w:val="78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70">
    <w:name w:val="Heading 3 Char"/>
    <w:basedOn w:val="795"/>
    <w:link w:val="78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71">
    <w:name w:val="Heading 4 Char"/>
    <w:basedOn w:val="795"/>
    <w:link w:val="78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72">
    <w:name w:val="Heading 5 Char"/>
    <w:basedOn w:val="795"/>
    <w:link w:val="79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73">
    <w:name w:val="Heading 6 Char"/>
    <w:basedOn w:val="795"/>
    <w:link w:val="79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74">
    <w:name w:val="Heading 7 Char"/>
    <w:basedOn w:val="795"/>
    <w:link w:val="79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75">
    <w:name w:val="Heading 8 Char"/>
    <w:basedOn w:val="795"/>
    <w:link w:val="79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76">
    <w:name w:val="Heading 9 Char"/>
    <w:basedOn w:val="795"/>
    <w:link w:val="79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77">
    <w:name w:val="Title Char"/>
    <w:basedOn w:val="795"/>
    <w:link w:val="93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78">
    <w:name w:val="Subtitle Char"/>
    <w:basedOn w:val="795"/>
    <w:link w:val="93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79">
    <w:name w:val="Quote Char"/>
    <w:basedOn w:val="795"/>
    <w:link w:val="93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80">
    <w:name w:val="Intense Quote Char"/>
    <w:basedOn w:val="795"/>
    <w:link w:val="94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81">
    <w:name w:val="Header Char"/>
    <w:basedOn w:val="795"/>
    <w:link w:val="950"/>
    <w:uiPriority w:val="99"/>
    <w:pPr>
      <w:pBdr/>
      <w:spacing/>
      <w:ind/>
    </w:pPr>
  </w:style>
  <w:style w:type="character" w:styleId="782">
    <w:name w:val="Footer Char"/>
    <w:basedOn w:val="795"/>
    <w:link w:val="952"/>
    <w:uiPriority w:val="99"/>
    <w:pPr>
      <w:pBdr/>
      <w:spacing/>
      <w:ind/>
    </w:pPr>
  </w:style>
  <w:style w:type="character" w:styleId="783">
    <w:name w:val="Footnote Text Char"/>
    <w:basedOn w:val="795"/>
    <w:link w:val="955"/>
    <w:uiPriority w:val="99"/>
    <w:semiHidden/>
    <w:pPr>
      <w:pBdr/>
      <w:spacing/>
      <w:ind/>
    </w:pPr>
    <w:rPr>
      <w:sz w:val="20"/>
      <w:szCs w:val="20"/>
    </w:rPr>
  </w:style>
  <w:style w:type="character" w:styleId="784">
    <w:name w:val="Endnote Text Char"/>
    <w:basedOn w:val="795"/>
    <w:link w:val="958"/>
    <w:uiPriority w:val="99"/>
    <w:semiHidden/>
    <w:pPr>
      <w:pBdr/>
      <w:spacing/>
      <w:ind/>
    </w:pPr>
    <w:rPr>
      <w:sz w:val="20"/>
      <w:szCs w:val="20"/>
    </w:rPr>
  </w:style>
  <w:style w:type="paragraph" w:styleId="785" w:default="1">
    <w:name w:val="Normal"/>
    <w:qFormat/>
    <w:pPr>
      <w:pBdr/>
      <w:spacing/>
      <w:ind/>
    </w:pPr>
    <w:rPr>
      <w:sz w:val="24"/>
      <w:szCs w:val="24"/>
    </w:rPr>
  </w:style>
  <w:style w:type="paragraph" w:styleId="786">
    <w:name w:val="Heading 1"/>
    <w:basedOn w:val="785"/>
    <w:next w:val="785"/>
    <w:link w:val="92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/>
      <w:sz w:val="40"/>
      <w:szCs w:val="40"/>
    </w:rPr>
  </w:style>
  <w:style w:type="paragraph" w:styleId="787">
    <w:name w:val="Heading 2"/>
    <w:basedOn w:val="785"/>
    <w:next w:val="785"/>
    <w:link w:val="92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88">
    <w:name w:val="Heading 3"/>
    <w:basedOn w:val="785"/>
    <w:next w:val="785"/>
    <w:link w:val="92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89">
    <w:name w:val="Heading 4"/>
    <w:basedOn w:val="785"/>
    <w:next w:val="785"/>
    <w:link w:val="92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90">
    <w:name w:val="Heading 5"/>
    <w:basedOn w:val="785"/>
    <w:next w:val="785"/>
    <w:link w:val="92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91">
    <w:name w:val="Heading 6"/>
    <w:basedOn w:val="785"/>
    <w:next w:val="785"/>
    <w:link w:val="929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92">
    <w:name w:val="Heading 7"/>
    <w:basedOn w:val="785"/>
    <w:next w:val="785"/>
    <w:link w:val="930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93">
    <w:name w:val="Heading 8"/>
    <w:basedOn w:val="785"/>
    <w:next w:val="785"/>
    <w:link w:val="931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94">
    <w:name w:val="Heading 9"/>
    <w:basedOn w:val="785"/>
    <w:next w:val="785"/>
    <w:link w:val="932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95" w:default="1">
    <w:name w:val="Default Paragraph Font"/>
    <w:uiPriority w:val="1"/>
    <w:semiHidden/>
    <w:unhideWhenUsed/>
    <w:pPr>
      <w:pBdr/>
      <w:spacing/>
      <w:ind/>
    </w:pPr>
  </w:style>
  <w:style w:type="table" w:styleId="79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97" w:default="1">
    <w:name w:val="No List"/>
    <w:uiPriority w:val="99"/>
    <w:semiHidden/>
    <w:unhideWhenUsed/>
    <w:pPr>
      <w:pBdr/>
      <w:spacing/>
      <w:ind/>
    </w:pPr>
  </w:style>
  <w:style w:type="table" w:styleId="798">
    <w:name w:val="Table Grid"/>
    <w:basedOn w:val="796"/>
    <w:uiPriority w:val="59"/>
    <w:pPr>
      <w:pBdr/>
      <w:spacing/>
      <w:ind/>
    </w:pPr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Table Grid Light"/>
    <w:basedOn w:val="796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Plain Table 1"/>
    <w:basedOn w:val="796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Plain Table 2"/>
    <w:basedOn w:val="796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Plain Table 3"/>
    <w:basedOn w:val="79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Plain Table 4"/>
    <w:basedOn w:val="79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Plain Table 5"/>
    <w:basedOn w:val="79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1 Light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1 Light - Accent 1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1 Light - Accent 2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1 Light - Accent 3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1 Light - Accent 4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1 Light - Accent 5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1 Light - Accent 6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2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2 - Accent 1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2 - Accent 2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2 - Accent 3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2 - Accent 4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2 - Accent 5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2 - Accent 6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3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3 - Accent 1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3 - Accent 2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3 - Accent 3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3 - Accent 4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3 - Accent 5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3 - Accent 6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4"/>
    <w:basedOn w:val="796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4 - Accent 1"/>
    <w:basedOn w:val="796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4 - Accent 2"/>
    <w:basedOn w:val="796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4 - Accent 3"/>
    <w:basedOn w:val="796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4 - Accent 4"/>
    <w:basedOn w:val="796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4 - Accent 5"/>
    <w:basedOn w:val="796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4 - Accent 6"/>
    <w:basedOn w:val="796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5 Dark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5 Dark- Accent 1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5 Dark - Accent 2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5 Dark - Accent 3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5 Dark- Accent 4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5 Dark - Accent 5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5 Dark - Accent 6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6 Colorful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6 Colorful - Accent 1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6 Colorful - Accent 2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6 Colorful - Accent 3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6 Colorful - Accent 4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6 Colorful - Accent 5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6 Colorful - Accent 6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7 Colorful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7 Colorful - Accent 1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a6bfdd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7 Colorful - Accent 2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d99695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7 Colorful - Accent 3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abb59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7 Colorful - Accent 4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b2a1c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7 Colorful - Accent 5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9d0d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7 Colorful - Accent 6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ac39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1 Light"/>
    <w:basedOn w:val="79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1 Light - Accent 1"/>
    <w:basedOn w:val="79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1 Light - Accent 2"/>
    <w:basedOn w:val="79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1 Light - Accent 3"/>
    <w:basedOn w:val="79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1 Light - Accent 4"/>
    <w:basedOn w:val="79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1 Light - Accent 5"/>
    <w:basedOn w:val="79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1 Light - Accent 6"/>
    <w:basedOn w:val="79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2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2 - Accent 1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2 - Accent 2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2 - Accent 3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2 - Accent 4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2 - Accent 5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2 - Accent 6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3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3 - Accent 1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3 - Accent 2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3 - Accent 3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3 - Accent 4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3 - Accent 5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3 - Accent 6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4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4 - Accent 1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4 - Accent 2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4 - Accent 3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4 - Accent 4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4 - Accent 5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4 - Accent 6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5 Dark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5 Dark - Accent 1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5 Dark - Accent 2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5 Dark - Accent 3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5 Dark - Accent 4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5 Dark - Accent 5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5 Dark - Accent 6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6 Colorful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6 Colorful - Accent 1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6 Colorful - Accent 2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6 Colorful - Accent 3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6 Colorful - Accent 4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6 Colorful - Accent 5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6 Colorful - Accent 6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7 Colorful"/>
    <w:basedOn w:val="796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7 Colorful - Accent 1"/>
    <w:basedOn w:val="796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4f81bd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7 Colorful - Accent 2"/>
    <w:basedOn w:val="796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d99695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7 Colorful - Accent 3"/>
    <w:basedOn w:val="796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c3d69b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7 Colorful - Accent 4"/>
    <w:basedOn w:val="796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b2a1c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7 Colorful - Accent 5"/>
    <w:basedOn w:val="796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2ccdc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7 Colorful - Accent 6"/>
    <w:basedOn w:val="796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ac0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ned - Accent"/>
    <w:basedOn w:val="79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ned - Accent 1"/>
    <w:basedOn w:val="79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ned - Accent 2"/>
    <w:basedOn w:val="79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ned - Accent 3"/>
    <w:basedOn w:val="79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ned - Accent 4"/>
    <w:basedOn w:val="79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ned - Accent 5"/>
    <w:basedOn w:val="79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ned - Accent 6"/>
    <w:basedOn w:val="79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&amp; Lined - Accent"/>
    <w:basedOn w:val="79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&amp; Lined - Accent 1"/>
    <w:basedOn w:val="79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&amp; Lined - Accent 2"/>
    <w:basedOn w:val="79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&amp; Lined - Accent 3"/>
    <w:basedOn w:val="79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&amp; Lined - Accent 4"/>
    <w:basedOn w:val="79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&amp; Lined - Accent 5"/>
    <w:basedOn w:val="79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&amp; Lined - Accent 6"/>
    <w:basedOn w:val="79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- Accent 1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- Accent 2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- Accent 3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- Accent 4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- Accent 5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- Accent 6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4" w:customStyle="1">
    <w:name w:val="Заголовок 1 Знак"/>
    <w:link w:val="786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925" w:customStyle="1">
    <w:name w:val="Заголовок 2 Знак"/>
    <w:link w:val="787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926" w:customStyle="1">
    <w:name w:val="Заголовок 3 Знак"/>
    <w:link w:val="788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927" w:customStyle="1">
    <w:name w:val="Заголовок 4 Знак"/>
    <w:link w:val="789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928" w:customStyle="1">
    <w:name w:val="Заголовок 5 Знак"/>
    <w:link w:val="790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929" w:customStyle="1">
    <w:name w:val="Заголовок 6 Знак"/>
    <w:link w:val="791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930" w:customStyle="1">
    <w:name w:val="Заголовок 7 Знак"/>
    <w:link w:val="792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931" w:customStyle="1">
    <w:name w:val="Заголовок 8 Знак"/>
    <w:link w:val="793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932" w:customStyle="1">
    <w:name w:val="Заголовок 9 Знак"/>
    <w:link w:val="794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933">
    <w:name w:val="Title"/>
    <w:basedOn w:val="785"/>
    <w:next w:val="785"/>
    <w:link w:val="934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34" w:customStyle="1">
    <w:name w:val="Название Знак"/>
    <w:link w:val="93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35">
    <w:name w:val="Subtitle"/>
    <w:basedOn w:val="785"/>
    <w:next w:val="785"/>
    <w:link w:val="936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936" w:customStyle="1">
    <w:name w:val="Подзаголовок Знак"/>
    <w:link w:val="935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937">
    <w:name w:val="Quote"/>
    <w:basedOn w:val="785"/>
    <w:next w:val="785"/>
    <w:link w:val="938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938" w:customStyle="1">
    <w:name w:val="Цитата 2 Знак"/>
    <w:link w:val="937"/>
    <w:uiPriority w:val="29"/>
    <w:pPr>
      <w:pBdr/>
      <w:spacing/>
      <w:ind/>
    </w:pPr>
    <w:rPr>
      <w:i/>
      <w:iCs/>
      <w:color w:val="404040"/>
    </w:rPr>
  </w:style>
  <w:style w:type="paragraph" w:styleId="939">
    <w:name w:val="List Paragraph"/>
    <w:basedOn w:val="785"/>
    <w:uiPriority w:val="34"/>
    <w:qFormat/>
    <w:pPr>
      <w:pBdr/>
      <w:spacing/>
      <w:ind w:firstLine="397" w:left="720"/>
      <w:contextualSpacing w:val="true"/>
    </w:pPr>
    <w:rPr>
      <w:rFonts w:ascii="Calibri" w:hAnsi="Calibri" w:eastAsia="Calibri"/>
      <w:sz w:val="22"/>
      <w:szCs w:val="22"/>
      <w:lang w:eastAsia="en-US"/>
    </w:rPr>
  </w:style>
  <w:style w:type="character" w:styleId="940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941">
    <w:name w:val="Intense Quote"/>
    <w:basedOn w:val="785"/>
    <w:next w:val="785"/>
    <w:link w:val="942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942" w:customStyle="1">
    <w:name w:val="Выделенная цитата Знак"/>
    <w:link w:val="941"/>
    <w:uiPriority w:val="30"/>
    <w:pPr>
      <w:pBdr/>
      <w:spacing/>
      <w:ind/>
    </w:pPr>
    <w:rPr>
      <w:i/>
      <w:iCs/>
      <w:color w:val="365f91"/>
    </w:rPr>
  </w:style>
  <w:style w:type="character" w:styleId="943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944">
    <w:name w:val="No Spacing"/>
    <w:basedOn w:val="785"/>
    <w:uiPriority w:val="1"/>
    <w:qFormat/>
    <w:pPr>
      <w:pBdr/>
      <w:spacing/>
      <w:ind/>
    </w:pPr>
    <w:rPr>
      <w:rFonts w:ascii="Calibri" w:hAnsi="Calibri" w:eastAsia="Calibri"/>
      <w:sz w:val="22"/>
      <w:szCs w:val="22"/>
      <w:lang w:eastAsia="en-US"/>
    </w:rPr>
  </w:style>
  <w:style w:type="character" w:styleId="945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946">
    <w:name w:val="Emphasis"/>
    <w:uiPriority w:val="20"/>
    <w:qFormat/>
    <w:pPr>
      <w:pBdr/>
      <w:spacing/>
      <w:ind/>
    </w:pPr>
    <w:rPr>
      <w:i/>
      <w:iCs/>
    </w:rPr>
  </w:style>
  <w:style w:type="character" w:styleId="947">
    <w:name w:val="Strong"/>
    <w:uiPriority w:val="22"/>
    <w:qFormat/>
    <w:pPr>
      <w:pBdr/>
      <w:spacing/>
      <w:ind/>
    </w:pPr>
    <w:rPr>
      <w:b/>
      <w:bCs/>
    </w:rPr>
  </w:style>
  <w:style w:type="character" w:styleId="948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949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50">
    <w:name w:val="Header"/>
    <w:basedOn w:val="785"/>
    <w:link w:val="951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951" w:customStyle="1">
    <w:name w:val="Верхний колонтитул Знак"/>
    <w:basedOn w:val="795"/>
    <w:link w:val="950"/>
    <w:uiPriority w:val="99"/>
    <w:pPr>
      <w:pBdr/>
      <w:spacing/>
      <w:ind/>
    </w:pPr>
  </w:style>
  <w:style w:type="paragraph" w:styleId="952">
    <w:name w:val="Footer"/>
    <w:basedOn w:val="785"/>
    <w:link w:val="953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953" w:customStyle="1">
    <w:name w:val="Нижний колонтитул Знак"/>
    <w:basedOn w:val="795"/>
    <w:link w:val="952"/>
    <w:uiPriority w:val="99"/>
    <w:pPr>
      <w:pBdr/>
      <w:spacing/>
      <w:ind/>
    </w:pPr>
  </w:style>
  <w:style w:type="paragraph" w:styleId="954">
    <w:name w:val="Caption"/>
    <w:basedOn w:val="785"/>
    <w:next w:val="785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955">
    <w:name w:val="footnote text"/>
    <w:basedOn w:val="785"/>
    <w:link w:val="956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56" w:customStyle="1">
    <w:name w:val="Текст сноски Знак"/>
    <w:link w:val="955"/>
    <w:uiPriority w:val="99"/>
    <w:semiHidden/>
    <w:pPr>
      <w:pBdr/>
      <w:spacing/>
      <w:ind/>
    </w:pPr>
    <w:rPr>
      <w:sz w:val="20"/>
      <w:szCs w:val="20"/>
    </w:rPr>
  </w:style>
  <w:style w:type="character" w:styleId="957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58">
    <w:name w:val="endnote text"/>
    <w:basedOn w:val="785"/>
    <w:link w:val="959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59" w:customStyle="1">
    <w:name w:val="Текст концевой сноски Знак"/>
    <w:link w:val="958"/>
    <w:uiPriority w:val="99"/>
    <w:semiHidden/>
    <w:pPr>
      <w:pBdr/>
      <w:spacing/>
      <w:ind/>
    </w:pPr>
    <w:rPr>
      <w:sz w:val="20"/>
      <w:szCs w:val="20"/>
    </w:rPr>
  </w:style>
  <w:style w:type="character" w:styleId="96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961">
    <w:name w:val="Hyperlink"/>
    <w:pPr>
      <w:pBdr/>
      <w:spacing/>
      <w:ind/>
    </w:pPr>
    <w:rPr>
      <w:color w:val="0000ff"/>
      <w:u w:val="single"/>
    </w:rPr>
  </w:style>
  <w:style w:type="character" w:styleId="962">
    <w:name w:val="FollowedHyperlink"/>
    <w:pPr>
      <w:pBdr/>
      <w:spacing/>
      <w:ind/>
    </w:pPr>
    <w:rPr>
      <w:color w:val="954f72"/>
      <w:u w:val="single"/>
    </w:rPr>
  </w:style>
  <w:style w:type="paragraph" w:styleId="963">
    <w:name w:val="toc 1"/>
    <w:basedOn w:val="785"/>
    <w:next w:val="785"/>
    <w:uiPriority w:val="39"/>
    <w:unhideWhenUsed/>
    <w:pPr>
      <w:pBdr/>
      <w:spacing w:after="100"/>
      <w:ind/>
    </w:pPr>
  </w:style>
  <w:style w:type="paragraph" w:styleId="964">
    <w:name w:val="toc 2"/>
    <w:basedOn w:val="785"/>
    <w:next w:val="785"/>
    <w:uiPriority w:val="39"/>
    <w:unhideWhenUsed/>
    <w:pPr>
      <w:pBdr/>
      <w:spacing w:after="100"/>
      <w:ind w:left="220"/>
    </w:pPr>
  </w:style>
  <w:style w:type="paragraph" w:styleId="965">
    <w:name w:val="toc 3"/>
    <w:basedOn w:val="785"/>
    <w:next w:val="785"/>
    <w:uiPriority w:val="39"/>
    <w:unhideWhenUsed/>
    <w:pPr>
      <w:pBdr/>
      <w:spacing w:after="100"/>
      <w:ind w:left="440"/>
    </w:pPr>
  </w:style>
  <w:style w:type="paragraph" w:styleId="966">
    <w:name w:val="toc 4"/>
    <w:basedOn w:val="785"/>
    <w:next w:val="785"/>
    <w:uiPriority w:val="39"/>
    <w:unhideWhenUsed/>
    <w:pPr>
      <w:pBdr/>
      <w:spacing w:after="100"/>
      <w:ind w:left="660"/>
    </w:pPr>
  </w:style>
  <w:style w:type="paragraph" w:styleId="967">
    <w:name w:val="toc 5"/>
    <w:basedOn w:val="785"/>
    <w:next w:val="785"/>
    <w:uiPriority w:val="39"/>
    <w:unhideWhenUsed/>
    <w:pPr>
      <w:pBdr/>
      <w:spacing w:after="100"/>
      <w:ind w:left="880"/>
    </w:pPr>
  </w:style>
  <w:style w:type="paragraph" w:styleId="968">
    <w:name w:val="toc 6"/>
    <w:basedOn w:val="785"/>
    <w:next w:val="785"/>
    <w:uiPriority w:val="39"/>
    <w:unhideWhenUsed/>
    <w:pPr>
      <w:pBdr/>
      <w:spacing w:after="100"/>
      <w:ind w:left="1100"/>
    </w:pPr>
  </w:style>
  <w:style w:type="paragraph" w:styleId="969">
    <w:name w:val="toc 7"/>
    <w:basedOn w:val="785"/>
    <w:next w:val="785"/>
    <w:uiPriority w:val="39"/>
    <w:unhideWhenUsed/>
    <w:pPr>
      <w:pBdr/>
      <w:spacing w:after="100"/>
      <w:ind w:left="1320"/>
    </w:pPr>
  </w:style>
  <w:style w:type="paragraph" w:styleId="970">
    <w:name w:val="toc 8"/>
    <w:basedOn w:val="785"/>
    <w:next w:val="785"/>
    <w:uiPriority w:val="39"/>
    <w:unhideWhenUsed/>
    <w:pPr>
      <w:pBdr/>
      <w:spacing w:after="100"/>
      <w:ind w:left="1540"/>
    </w:pPr>
  </w:style>
  <w:style w:type="paragraph" w:styleId="971">
    <w:name w:val="toc 9"/>
    <w:basedOn w:val="785"/>
    <w:next w:val="785"/>
    <w:uiPriority w:val="39"/>
    <w:unhideWhenUsed/>
    <w:pPr>
      <w:pBdr/>
      <w:spacing w:after="100"/>
      <w:ind w:left="1760"/>
    </w:pPr>
  </w:style>
  <w:style w:type="character" w:styleId="972">
    <w:name w:val="Placeholder Text"/>
    <w:uiPriority w:val="99"/>
    <w:semiHidden/>
    <w:pPr>
      <w:pBdr/>
      <w:spacing/>
      <w:ind/>
    </w:pPr>
    <w:rPr>
      <w:color w:val="666666"/>
    </w:rPr>
  </w:style>
  <w:style w:type="paragraph" w:styleId="973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74">
    <w:name w:val="table of figures"/>
    <w:basedOn w:val="785"/>
    <w:next w:val="785"/>
    <w:uiPriority w:val="99"/>
    <w:unhideWhenUsed/>
    <w:pPr>
      <w:pBdr/>
      <w:spacing/>
      <w:ind/>
    </w:pPr>
  </w:style>
  <w:style w:type="paragraph" w:styleId="975" w:customStyle="1">
    <w:name w:val="Default"/>
    <w:pPr>
      <w:pBdr/>
      <w:spacing/>
      <w:ind/>
    </w:pPr>
    <w:rPr>
      <w:rFonts w:cs="Calibri"/>
      <w:color w:val="000000"/>
      <w:sz w:val="24"/>
      <w:szCs w:val="24"/>
      <w:lang w:eastAsia="ar-SA"/>
    </w:rPr>
  </w:style>
  <w:style w:type="paragraph" w:styleId="976">
    <w:name w:val="Body Text Indent"/>
    <w:basedOn w:val="785"/>
    <w:link w:val="977"/>
    <w:pPr>
      <w:pBdr/>
      <w:spacing/>
      <w:ind w:firstLine="720"/>
      <w:jc w:val="both"/>
    </w:pPr>
    <w:rPr>
      <w:color w:val="ff6600"/>
      <w:sz w:val="26"/>
      <w:lang w:val="en-US" w:eastAsia="en-US"/>
    </w:rPr>
  </w:style>
  <w:style w:type="character" w:styleId="977" w:customStyle="1">
    <w:name w:val="Основной текст с отступом Знак"/>
    <w:link w:val="976"/>
    <w:pPr>
      <w:pBdr/>
      <w:spacing/>
      <w:ind/>
    </w:pPr>
    <w:rPr>
      <w:color w:val="ff6600"/>
      <w:sz w:val="26"/>
      <w:szCs w:val="24"/>
    </w:rPr>
  </w:style>
  <w:style w:type="paragraph" w:styleId="978">
    <w:name w:val="Balloon Text"/>
    <w:basedOn w:val="785"/>
    <w:link w:val="979"/>
    <w:pPr>
      <w:pBdr/>
      <w:spacing/>
      <w:ind/>
    </w:pPr>
    <w:rPr>
      <w:rFonts w:ascii="Tahoma" w:hAnsi="Tahoma"/>
      <w:sz w:val="16"/>
      <w:szCs w:val="16"/>
      <w:lang w:val="en-US" w:eastAsia="en-US"/>
    </w:rPr>
  </w:style>
  <w:style w:type="character" w:styleId="979" w:customStyle="1">
    <w:name w:val="Текст выноски Знак"/>
    <w:link w:val="978"/>
    <w:pPr>
      <w:pBdr/>
      <w:spacing/>
      <w:ind/>
    </w:pPr>
    <w:rPr>
      <w:rFonts w:ascii="Tahoma" w:hAnsi="Tahoma" w:cs="Tahoma"/>
      <w:sz w:val="16"/>
      <w:szCs w:val="16"/>
    </w:rPr>
  </w:style>
  <w:style w:type="character" w:styleId="980" w:customStyle="1">
    <w:name w:val="Неразрешенное упоминание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981" w:customStyle="1">
    <w:name w:val="styledparagraph-sc-tbetod-0"/>
    <w:basedOn w:val="785"/>
    <w:pPr>
      <w:pBdr/>
      <w:spacing w:after="100" w:afterAutospacing="1" w:before="100" w:beforeAutospacing="1"/>
      <w:ind/>
    </w:pPr>
  </w:style>
  <w:style w:type="paragraph" w:styleId="982" w:customStyle="1">
    <w:name w:val="Без интервала"/>
    <w:uiPriority w:val="1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7" w:hanging="10" w:left="10"/>
      <w:contextualSpacing w:val="false"/>
      <w:jc w:val="both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2"/>
      <w:highlight w:val="none"/>
      <w:u w:val="none"/>
      <w:vertAlign w:val="baseline"/>
      <w:rtl w:val="0"/>
      <w:cs w:val="0"/>
      <w:lang w:val="en-US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minsport.gov.ru/activity/government-regulation/vidy-sporta-razvivaemye-na-obshherossijskom-urovne/letnie-olimpijskie-vidy-sporta-2/triatlon-1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revision>49</cp:revision>
  <dcterms:created xsi:type="dcterms:W3CDTF">2024-06-25T10:15:00Z</dcterms:created>
  <dcterms:modified xsi:type="dcterms:W3CDTF">2026-05-04T08:25:05Z</dcterms:modified>
  <cp:version>917504</cp:version>
</cp:coreProperties>
</file>