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36"/>
        </w:rPr>
      </w:pPr>
      <w:r>
        <w:rPr>
          <w:b/>
          <w:sz w:val="36"/>
        </w:rPr>
        <w:t xml:space="preserve">Положение о кубке «Золотой Маршрут» 2019 (общее положение). </w:t>
      </w:r>
    </w:p>
    <w:p>
      <w:pPr>
        <w:pStyle w:val="Normal"/>
        <w:ind w:firstLine="284"/>
        <w:rPr>
          <w:b/>
          <w:b/>
        </w:rPr>
      </w:pPr>
      <w:r>
        <w:rPr>
          <w:b/>
        </w:rPr>
        <w:t>Кубок «Золотой Маршрут» – это ряд крупнейших мероприятий по рогейну, проходящих с января по ноябрь, объединённых общим зачётом.</w:t>
      </w:r>
    </w:p>
    <w:p>
      <w:pPr>
        <w:pStyle w:val="Normal"/>
        <w:ind w:firstLine="284"/>
        <w:rPr/>
      </w:pPr>
      <w:r>
        <w:rPr/>
        <w:t xml:space="preserve">В этом году мы делаем большой шаг в сторону </w:t>
      </w:r>
      <w:r>
        <w:rPr>
          <w:lang w:val="en-US"/>
        </w:rPr>
        <w:t>oudoor</w:t>
      </w:r>
      <w:r>
        <w:rPr/>
        <w:t>-мероприятия мечты. Для этого:</w:t>
      </w:r>
    </w:p>
    <w:p>
      <w:pPr>
        <w:pStyle w:val="ListParagraph"/>
        <w:numPr>
          <w:ilvl w:val="0"/>
          <w:numId w:val="2"/>
        </w:numPr>
        <w:ind w:left="0" w:firstLine="284"/>
        <w:rPr/>
      </w:pPr>
      <w:r>
        <w:rPr/>
        <w:t>Карта каждого мероприятия будет передаваться народу бесплатно для неограниченного использования, выкладываться в интернете в формате «для редактирования», а в конце сезона будут выложены все прежние архивы карт кроме тех, что будут использованы в 2020 году;</w:t>
      </w:r>
    </w:p>
    <w:p>
      <w:pPr>
        <w:pStyle w:val="ListParagraph"/>
        <w:numPr>
          <w:ilvl w:val="0"/>
          <w:numId w:val="2"/>
        </w:numPr>
        <w:ind w:left="0" w:firstLine="284"/>
        <w:rPr/>
      </w:pPr>
      <w:r>
        <w:rPr/>
        <w:t>На каждом не городском рогейне будет своя спортивная «фишка», прежде недоступная. На Зимнем – укатанные лыжни и специально подготовленная вырубленная спортивная сетка, на Ранней весне – отредактированная карта спорт.ориентирования, а на остальных – новая или перерисованная карта в знаках спортивного ориентирования в дополнении к основной карте рогейна;</w:t>
      </w:r>
    </w:p>
    <w:p>
      <w:pPr>
        <w:pStyle w:val="ListParagraph"/>
        <w:numPr>
          <w:ilvl w:val="0"/>
          <w:numId w:val="2"/>
        </w:numPr>
        <w:ind w:left="0" w:firstLine="284"/>
        <w:rPr/>
      </w:pPr>
      <w:r>
        <w:rPr/>
        <w:t>Ради комфорта и удобства участников мы увеличим количество веломоек, расширим ёмкость горячего душа, увеличим емкости для размещения участников и гостей;</w:t>
      </w:r>
    </w:p>
    <w:p>
      <w:pPr>
        <w:pStyle w:val="ListParagraph"/>
        <w:numPr>
          <w:ilvl w:val="0"/>
          <w:numId w:val="2"/>
        </w:numPr>
        <w:ind w:left="0" w:firstLine="284"/>
        <w:rPr/>
      </w:pPr>
      <w:r>
        <w:rPr/>
        <w:t>Теперь оплатить участие на месте старта можно будет и банковской картой;</w:t>
      </w:r>
    </w:p>
    <w:p>
      <w:pPr>
        <w:pStyle w:val="Normal"/>
        <w:rPr/>
      </w:pPr>
      <w:r>
        <w:rPr/>
        <w:t>Мы и дальше будем поддерживать принципы социальной справедливости: сохраняем прежнюю стартовую минимальную цену уровня 2014 года, льготы в пол цены для молодых и наиболее взрослых участников, бесплатное участие детям 14 лет и моложе. А хотите бесплатно участвовать в любом возрасте? Помогите организаторам в проведении мероприятия и мы вас не забудем</w:t>
      </w:r>
    </w:p>
    <w:p>
      <w:pPr>
        <w:pStyle w:val="ListParagraph"/>
        <w:numPr>
          <w:ilvl w:val="0"/>
          <w:numId w:val="2"/>
        </w:numPr>
        <w:ind w:left="0" w:firstLine="284"/>
        <w:rPr>
          <w:color w:val="FF0000"/>
        </w:rPr>
      </w:pPr>
      <w:r>
        <w:fldChar w:fldCharType="begin"/>
      </w:r>
      <w:r>
        <w:rPr/>
        <w:instrText> TOC \z \o "1-4" \u \h</w:instrText>
      </w:r>
      <w:r>
        <w:rPr/>
        <w:fldChar w:fldCharType="separate"/>
      </w:r>
      <w:r>
        <w:rPr>
          <w:color w:val="FF0000"/>
        </w:rPr>
      </w:r>
      <w:r>
        <w:rPr/>
        <w:fldChar w:fldCharType="end"/>
      </w:r>
    </w:p>
    <w:p>
      <w:pPr>
        <w:pStyle w:val="42"/>
        <w:tabs>
          <w:tab w:val="right" w:pos="10763" w:leader="dot"/>
        </w:tabs>
        <w:ind w:firstLine="284"/>
        <w:rPr>
          <w:rFonts w:eastAsia="" w:eastAsiaTheme="minorEastAsia"/>
          <w:lang w:eastAsia="ru-RU"/>
        </w:rPr>
      </w:pPr>
      <w:hyperlink w:anchor="_Toc500483164">
        <w:r>
          <w:rPr>
            <w:rStyle w:val="Style12"/>
          </w:rPr>
          <w:t>1. Общие положения.</w:t>
        </w:r>
        <w:r>
          <w:rPr>
            <w:webHidden/>
          </w:rPr>
          <w:fldChar w:fldCharType="begin"/>
        </w:r>
        <w:r>
          <w:rPr>
            <w:webHidden/>
          </w:rPr>
          <w:instrText>PAGEREF _Toc500483164 \h</w:instrText>
        </w:r>
        <w:r>
          <w:rPr>
            <w:webHidden/>
          </w:rPr>
          <w:fldChar w:fldCharType="separate"/>
        </w:r>
        <w:r>
          <w:rPr>
            <w:rStyle w:val="Style12"/>
            <w:vanish w:val="false"/>
          </w:rPr>
          <w:tab/>
          <w:t>1</w:t>
        </w:r>
        <w:r>
          <w:rPr>
            <w:webHidden/>
          </w:rPr>
          <w:fldChar w:fldCharType="end"/>
        </w:r>
      </w:hyperlink>
    </w:p>
    <w:p>
      <w:pPr>
        <w:pStyle w:val="42"/>
        <w:tabs>
          <w:tab w:val="right" w:pos="10763" w:leader="dot"/>
        </w:tabs>
        <w:ind w:firstLine="284"/>
        <w:rPr>
          <w:rFonts w:eastAsia="" w:eastAsiaTheme="minorEastAsia"/>
          <w:lang w:eastAsia="ru-RU"/>
        </w:rPr>
      </w:pPr>
      <w:hyperlink w:anchor="_Toc500483165">
        <w:r>
          <w:rPr>
            <w:rStyle w:val="Style12"/>
          </w:rPr>
          <w:t>2. Участники, организаторы.</w:t>
        </w:r>
        <w:r>
          <w:rPr>
            <w:webHidden/>
          </w:rPr>
          <w:fldChar w:fldCharType="begin"/>
        </w:r>
        <w:r>
          <w:rPr>
            <w:webHidden/>
          </w:rPr>
          <w:instrText>PAGEREF _Toc500483165 \h</w:instrText>
        </w:r>
        <w:r>
          <w:rPr>
            <w:webHidden/>
          </w:rPr>
          <w:fldChar w:fldCharType="separate"/>
        </w:r>
        <w:r>
          <w:rPr>
            <w:rStyle w:val="Style12"/>
            <w:vanish w:val="false"/>
          </w:rPr>
          <w:tab/>
          <w:t>2</w:t>
        </w:r>
        <w:r>
          <w:rPr>
            <w:webHidden/>
          </w:rPr>
          <w:fldChar w:fldCharType="end"/>
        </w:r>
      </w:hyperlink>
    </w:p>
    <w:p>
      <w:pPr>
        <w:pStyle w:val="42"/>
        <w:tabs>
          <w:tab w:val="right" w:pos="10763" w:leader="dot"/>
        </w:tabs>
        <w:ind w:firstLine="284"/>
        <w:rPr>
          <w:rFonts w:eastAsia="" w:eastAsiaTheme="minorEastAsia"/>
          <w:lang w:eastAsia="ru-RU"/>
        </w:rPr>
      </w:pPr>
      <w:hyperlink w:anchor="_Toc500483166">
        <w:r>
          <w:rPr>
            <w:rStyle w:val="Style12"/>
          </w:rPr>
          <w:t>3. Спортивная справедливость, разрешения, запреты.</w:t>
        </w:r>
        <w:r>
          <w:rPr>
            <w:webHidden/>
          </w:rPr>
          <w:fldChar w:fldCharType="begin"/>
        </w:r>
        <w:r>
          <w:rPr>
            <w:webHidden/>
          </w:rPr>
          <w:instrText>PAGEREF _Toc500483166 \h</w:instrText>
        </w:r>
        <w:r>
          <w:rPr>
            <w:webHidden/>
          </w:rPr>
          <w:fldChar w:fldCharType="separate"/>
        </w:r>
        <w:r>
          <w:rPr>
            <w:rStyle w:val="Style12"/>
            <w:vanish w:val="false"/>
          </w:rPr>
          <w:tab/>
          <w:t>2</w:t>
        </w:r>
        <w:r>
          <w:rPr>
            <w:webHidden/>
          </w:rPr>
          <w:fldChar w:fldCharType="end"/>
        </w:r>
      </w:hyperlink>
    </w:p>
    <w:p>
      <w:pPr>
        <w:pStyle w:val="42"/>
        <w:tabs>
          <w:tab w:val="right" w:pos="10763" w:leader="dot"/>
        </w:tabs>
        <w:ind w:firstLine="284"/>
        <w:rPr>
          <w:rFonts w:eastAsia="" w:eastAsiaTheme="minorEastAsia"/>
          <w:lang w:eastAsia="ru-RU"/>
        </w:rPr>
      </w:pPr>
      <w:hyperlink w:anchor="_Toc500483167">
        <w:r>
          <w:rPr>
            <w:rStyle w:val="Style12"/>
          </w:rPr>
          <w:t>4. Рейтинг, зачёт, командный зачёт, награждение.</w:t>
        </w:r>
        <w:r>
          <w:rPr>
            <w:webHidden/>
          </w:rPr>
          <w:fldChar w:fldCharType="begin"/>
        </w:r>
        <w:r>
          <w:rPr>
            <w:webHidden/>
          </w:rPr>
          <w:instrText>PAGEREF _Toc500483167 \h</w:instrText>
        </w:r>
        <w:r>
          <w:rPr>
            <w:webHidden/>
          </w:rPr>
          <w:fldChar w:fldCharType="separate"/>
        </w:r>
        <w:r>
          <w:rPr>
            <w:rStyle w:val="Style12"/>
            <w:vanish w:val="false"/>
          </w:rPr>
          <w:tab/>
          <w:t>3</w:t>
        </w:r>
        <w:r>
          <w:rPr>
            <w:webHidden/>
          </w:rPr>
          <w:fldChar w:fldCharType="end"/>
        </w:r>
      </w:hyperlink>
    </w:p>
    <w:p>
      <w:pPr>
        <w:pStyle w:val="42"/>
        <w:tabs>
          <w:tab w:val="right" w:pos="10763" w:leader="dot"/>
        </w:tabs>
        <w:ind w:firstLine="284"/>
        <w:rPr>
          <w:rFonts w:eastAsia="" w:eastAsiaTheme="minorEastAsia"/>
          <w:lang w:eastAsia="ru-RU"/>
        </w:rPr>
      </w:pPr>
      <w:hyperlink w:anchor="_Toc500483168">
        <w:r>
          <w:rPr>
            <w:rStyle w:val="Style12"/>
          </w:rPr>
          <w:t>5. Финансовые условия.</w:t>
        </w:r>
        <w:r>
          <w:rPr>
            <w:webHidden/>
          </w:rPr>
          <w:fldChar w:fldCharType="begin"/>
        </w:r>
        <w:r>
          <w:rPr>
            <w:webHidden/>
          </w:rPr>
          <w:instrText>PAGEREF _Toc500483168 \h</w:instrText>
        </w:r>
        <w:r>
          <w:rPr>
            <w:webHidden/>
          </w:rPr>
          <w:fldChar w:fldCharType="separate"/>
        </w:r>
        <w:r>
          <w:rPr>
            <w:rStyle w:val="Style12"/>
            <w:vanish w:val="false"/>
          </w:rPr>
          <w:tab/>
          <w:t>5</w:t>
        </w:r>
        <w:r>
          <w:rPr>
            <w:webHidden/>
          </w:rPr>
          <w:fldChar w:fldCharType="end"/>
        </w:r>
      </w:hyperlink>
    </w:p>
    <w:p>
      <w:pPr>
        <w:pStyle w:val="42"/>
        <w:tabs>
          <w:tab w:val="right" w:pos="10763" w:leader="dot"/>
        </w:tabs>
        <w:ind w:firstLine="284"/>
        <w:rPr>
          <w:rFonts w:eastAsia="" w:eastAsiaTheme="minorEastAsia"/>
          <w:lang w:eastAsia="ru-RU"/>
        </w:rPr>
      </w:pPr>
      <w:hyperlink w:anchor="_Toc500483169">
        <w:r>
          <w:rPr>
            <w:rStyle w:val="Style12"/>
          </w:rPr>
          <w:t>6. Юридические моменты.</w:t>
        </w:r>
        <w:r>
          <w:rPr>
            <w:webHidden/>
          </w:rPr>
          <w:fldChar w:fldCharType="begin"/>
        </w:r>
        <w:r>
          <w:rPr>
            <w:webHidden/>
          </w:rPr>
          <w:instrText>PAGEREF _Toc500483169 \h</w:instrText>
        </w:r>
        <w:r>
          <w:rPr>
            <w:webHidden/>
          </w:rPr>
          <w:fldChar w:fldCharType="separate"/>
        </w:r>
        <w:r>
          <w:rPr>
            <w:rStyle w:val="Style12"/>
            <w:vanish w:val="false"/>
          </w:rPr>
          <w:tab/>
          <w:t>7</w:t>
        </w:r>
        <w:r>
          <w:rPr>
            <w:webHidden/>
          </w:rPr>
          <w:fldChar w:fldCharType="end"/>
        </w:r>
      </w:hyperlink>
    </w:p>
    <w:p>
      <w:pPr>
        <w:pStyle w:val="42"/>
        <w:tabs>
          <w:tab w:val="right" w:pos="10763" w:leader="dot"/>
        </w:tabs>
        <w:ind w:firstLine="284"/>
        <w:rPr>
          <w:rFonts w:eastAsia="" w:eastAsiaTheme="minorEastAsia"/>
          <w:lang w:eastAsia="ru-RU"/>
        </w:rPr>
      </w:pPr>
      <w:hyperlink w:anchor="_Toc500483170">
        <w:r>
          <w:rPr>
            <w:rStyle w:val="Style12"/>
          </w:rPr>
          <w:t>7. Социальная ответственность.</w:t>
        </w:r>
        <w:r>
          <w:rPr>
            <w:webHidden/>
          </w:rPr>
          <w:fldChar w:fldCharType="begin"/>
        </w:r>
        <w:r>
          <w:rPr>
            <w:webHidden/>
          </w:rPr>
          <w:instrText>PAGEREF _Toc500483170 \h</w:instrText>
        </w:r>
        <w:r>
          <w:rPr>
            <w:webHidden/>
          </w:rPr>
          <w:fldChar w:fldCharType="separate"/>
        </w:r>
        <w:r>
          <w:rPr>
            <w:rStyle w:val="Style12"/>
            <w:vanish w:val="false"/>
          </w:rPr>
          <w:tab/>
          <w:t>7</w:t>
        </w:r>
        <w:r>
          <w:rPr>
            <w:webHidden/>
          </w:rPr>
          <w:fldChar w:fldCharType="end"/>
        </w:r>
      </w:hyperlink>
    </w:p>
    <w:p>
      <w:pPr>
        <w:pStyle w:val="Normal"/>
        <w:ind w:firstLine="284"/>
        <w:rPr/>
      </w:pPr>
      <w:r>
        <w:rPr/>
      </w:r>
    </w:p>
    <w:p>
      <w:pPr>
        <w:pStyle w:val="4"/>
        <w:spacing w:before="0" w:after="160"/>
        <w:ind w:firstLine="284"/>
        <w:rPr/>
      </w:pPr>
      <w:bookmarkStart w:id="0" w:name="_Toc500483164"/>
      <w:r>
        <w:rPr/>
        <w:t>1. Общие положения.</w:t>
      </w:r>
      <w:bookmarkEnd w:id="0"/>
      <w:r>
        <w:rPr/>
        <w:t xml:space="preserve"> </w:t>
      </w:r>
    </w:p>
    <w:p>
      <w:pPr>
        <w:pStyle w:val="Normal"/>
        <w:ind w:firstLine="284"/>
        <w:rPr/>
      </w:pPr>
      <w:r>
        <w:rPr/>
        <w:t xml:space="preserve">1.1 Кубок «Золотой Маршрут» – это цикл некоммерческих гражданских соревновательных мероприятий по рогейну (этапов кубка), проходящих с января по ноябрь. Этап Кубка может входить в зачёт различных чемпионатов, первенств, других кубков по рогейну, иные зачёты, а также быть совмещённым с ними. </w:t>
      </w:r>
    </w:p>
    <w:p>
      <w:pPr>
        <w:pStyle w:val="Normal"/>
        <w:ind w:firstLine="284"/>
        <w:rPr/>
      </w:pPr>
      <w:r>
        <w:rPr/>
        <w:t xml:space="preserve">1.2 Каждый этап Кубка проводится, а результаты его определяются согласно российским Правилам проведения соревнований по рогейну, на основании Положения (Единого документа о конкретном этапе) с дополнениями и уточнениями, указанными в нём, а также на основании иных документов, электронных документов, которые упомянуты в Положении (Едином документе о мероприятии) или на официальных страницах этапов, перечень которых указан в Положении или Едином документе этапа. При возникновении расхождений и противоречий в текстах документов, более поздний опубликованный документ имеет превосходство над более ранним опубликованным документом. Юридическую силу опубликованного документа имеет также публично доведённая до сведений участников информация на предстартовом брифинге во время, указанное в Едином документе о конкретном мероприятии. </w:t>
      </w:r>
    </w:p>
    <w:p>
      <w:pPr>
        <w:pStyle w:val="Normal"/>
        <w:ind w:firstLine="284"/>
        <w:rPr/>
      </w:pPr>
      <w:r>
        <w:rPr/>
        <w:t xml:space="preserve">1.3 Главным арбитром и гарантом соблюдения правил кубка является главный судья конкретного этапа. Он рассматривает поданные письменные и устные протесты в связи с обстоятельствами проведения этапа кубка или его результатами от участников кубка, принимает по ним процессуальные и текущие решения, в том числе по необходимости и объёму сбора и представления доказательств, опросу других свидетелей и участников возникшей спорной ситуации. В случае возникновения спорной неоднозначной ситуации, фабула и контекст которой можно трактовать двояко на усмотрение главного судьи, он собирает жюри, состоящее из всех судей этапа, желающих принять участие в жюри. В этом случае решение выносится простым большинством голосов от числа присутствующих на жюри судей. </w:t>
      </w:r>
    </w:p>
    <w:p>
      <w:pPr>
        <w:pStyle w:val="Normal"/>
        <w:ind w:firstLine="284"/>
        <w:rPr/>
      </w:pPr>
      <w:r>
        <w:rPr/>
        <w:t xml:space="preserve">1.4 В календаре Кубка на текущий год допускается изменение даты проведения, продолжительности и перечня этапов только в случае крайних обстоятельств. Изменение числа этапов не допускается. </w:t>
      </w:r>
    </w:p>
    <w:p>
      <w:pPr>
        <w:pStyle w:val="Normal"/>
        <w:ind w:firstLine="284"/>
        <w:rPr/>
      </w:pPr>
      <w:r>
        <w:rPr/>
        <w:t xml:space="preserve">1.5 В Кубке используется система электронной отметки SFR или иная, разработанная на территории России. Если организатор этапа Кубка имеет свою, иную систему отметки, или не имеет никакой, система SFR предоставляется ему в пользование для проведения этапа Кубка бесплатно. </w:t>
      </w:r>
    </w:p>
    <w:p>
      <w:pPr>
        <w:pStyle w:val="Normal"/>
        <w:ind w:firstLine="284"/>
        <w:rPr/>
      </w:pPr>
      <w:r>
        <w:rPr/>
        <w:t xml:space="preserve">1.6 В Общее Положение после открытия продажи слотов изменения вноситься не могут ни при каких обстоятельствах. </w:t>
      </w:r>
    </w:p>
    <w:p>
      <w:pPr>
        <w:pStyle w:val="Normal"/>
        <w:ind w:firstLine="284"/>
        <w:rPr/>
      </w:pPr>
      <w:r>
        <w:rPr/>
        <w:t>1.7 Задача кубка – совершенствование мероприятий по рогейну, выявление сильнейших участников, а также сильнейших юниоров, ветеранов, суперветеранов, бегунов, велосипедистов, роллеров, лыжников, гребцов.</w:t>
      </w:r>
    </w:p>
    <w:p>
      <w:pPr>
        <w:pStyle w:val="4"/>
        <w:spacing w:before="0" w:after="160"/>
        <w:ind w:firstLine="284"/>
        <w:rPr/>
      </w:pPr>
      <w:r>
        <w:rPr/>
        <w:t xml:space="preserve"> </w:t>
      </w:r>
      <w:bookmarkStart w:id="1" w:name="_Toc500483165"/>
      <w:r>
        <w:rPr/>
        <w:t>2. Участники, организаторы.</w:t>
      </w:r>
      <w:bookmarkEnd w:id="1"/>
      <w:r>
        <w:rPr/>
        <w:t xml:space="preserve"> </w:t>
      </w:r>
    </w:p>
    <w:p>
      <w:pPr>
        <w:pStyle w:val="Normal"/>
        <w:ind w:firstLine="284"/>
        <w:rPr/>
      </w:pPr>
      <w:r>
        <w:rPr/>
        <w:t xml:space="preserve">2.1 В Кубке и отдельных этапах могут участвовать ВСЕ желающие, независимо от квалификации, региона проживания, гражданства и т.п., за исключением лиц, дисквалифицированных на основании нарушения пунктов данного документа, за которые данным документом предусмотрена временная или пожизненная дисквалификация. Также некоторые ограничения по возрасту участников могут вносить только документы, регламентирующие проведение конкретного этапа. Иные ограничения вводиться не могут. </w:t>
      </w:r>
    </w:p>
    <w:p>
      <w:pPr>
        <w:pStyle w:val="Normal"/>
        <w:ind w:firstLine="284"/>
        <w:rPr/>
      </w:pPr>
      <w:r>
        <w:rPr/>
        <w:t xml:space="preserve">2.2 Участники могут участвовать лично, либо объединившись в команду, численность которой определяется документами конкретного этапа. Одиночные участники участвуют наравне с командами в каждом формате по каждому временному зачёту, чья длина не превышает 8 часов. Участие или неучастие той или иной категории одиночных участников и команд в конкретной возрастной группе по конкретному возрастному зачёту, а также объединение в одном зачёте в одной группе различных по возрасту команд и одиночных участников, например, в один зачёт мужских и смешанных команд, регулируются также документами конкретного этапа. </w:t>
      </w:r>
    </w:p>
    <w:p>
      <w:pPr>
        <w:pStyle w:val="Normal"/>
        <w:ind w:firstLine="284"/>
        <w:rPr/>
      </w:pPr>
      <w:r>
        <w:rPr/>
        <w:t xml:space="preserve">2.3 Чипы для электронного хронометража на дистанции, выдаваемые участникам, являются собственностью организаторов и подлежат возврату организаторам в любом случае. При невозврате, либо порче, повреждении, утере чипа участником, участник компенсирует организатору стоимость чипа в размере 500 рублей за чип. </w:t>
      </w:r>
    </w:p>
    <w:p>
      <w:pPr>
        <w:pStyle w:val="Normal"/>
        <w:ind w:firstLine="284"/>
        <w:rPr/>
      </w:pPr>
      <w:r>
        <w:rPr/>
        <w:t xml:space="preserve">2.4 Преднамеренное выступление участника под чужими персональными данными (именем, фамилией, годом рождения) без разрешения главного судьи влечёт пожизненную дисквалификацию с рогейнов Кубка и распространение информации в сети интернет и иным способом с негативным оценочным суждением действий данного участника! </w:t>
      </w:r>
    </w:p>
    <w:p>
      <w:pPr>
        <w:pStyle w:val="Normal"/>
        <w:ind w:firstLine="284"/>
        <w:rPr/>
      </w:pPr>
      <w:r>
        <w:rPr/>
        <w:t xml:space="preserve">2.5 Возраст участника определяется на дату старта, при награждении за Кубок – на 31 декабря 2019 года. Здесь и далее в кубке устанавливаются следующие возможные группы участников: Дети – участники до 16 лет включительно; Юниоры – участники в возрасте до 23 лет включительно; Ветераны – участники 40-54 лет включительно, СуперВетераны – участники 55 лет и старше. Подведение зачёта по возрастным группам в каждом конкретном формате этапа определяется документами конкретного этапа. Допускается Объединение группы Дети и Юниоры в Юниоры, СуперВетераны и Ветераны в ветераны, отдельных/всех возрастных групп в единый зачёт. </w:t>
      </w:r>
    </w:p>
    <w:p>
      <w:pPr>
        <w:pStyle w:val="Normal"/>
        <w:ind w:firstLine="284"/>
        <w:rPr/>
      </w:pPr>
      <w:r>
        <w:rPr/>
        <w:t>2.6 Лимит участников на участие в каждом старте по предварительной регистрации – 600 человек. По достижению лимита заявок, заявка закрывается. Зарегистрироваться на этап можно будет только на месте старта</w:t>
      </w:r>
    </w:p>
    <w:p>
      <w:pPr>
        <w:pStyle w:val="4"/>
        <w:spacing w:before="0" w:after="160"/>
        <w:ind w:firstLine="284"/>
        <w:rPr/>
      </w:pPr>
      <w:bookmarkStart w:id="2" w:name="_Toc500483166"/>
      <w:r>
        <w:rPr/>
        <w:t>3. Спортивная справедливость, разрешения, запреты.</w:t>
      </w:r>
      <w:bookmarkEnd w:id="2"/>
      <w:r>
        <w:rPr/>
        <w:t xml:space="preserve"> </w:t>
      </w:r>
    </w:p>
    <w:p>
      <w:pPr>
        <w:pStyle w:val="Normal"/>
        <w:ind w:firstLine="284"/>
        <w:rPr/>
      </w:pPr>
      <w:r>
        <w:rPr/>
        <w:t xml:space="preserve">3.1 Участникам и командам запрещено целенаправленное преследование других участников и команд рогейна. В случае обнаружения такого преследования, преследователь за данный этап получает в рейтинг ноль очков, лишается места в протоколе результатов, не участвует в награждении. Под преследованием подразумевается последовательное взятие одних и тех же КП в количестве более половины от числа взятых на этапе. При этом интервал отметки на КП между первым участником одной команды и последним участником другой команды должен составлять 2 минуты и менее. В случае если преследователя точно установить невозможно, но преследование явно было, то данные условия распространяются на всех вышеназванных участников и команд. Данное правило не действует в случае, если участники преследования утверждают о единственно возможном варианте прохождения данного участка местности и планировки дистанции, либо если их результат не влияет на распределение призовых мест на этапе. Окончательное решение об установлении факта преследования при возникновении спорной ситуации принимает жюри судей этапа. </w:t>
      </w:r>
    </w:p>
    <w:p>
      <w:pPr>
        <w:pStyle w:val="Normal"/>
        <w:spacing w:before="0" w:after="0"/>
        <w:ind w:firstLine="142"/>
        <w:rPr/>
      </w:pPr>
      <w:r>
        <w:rPr/>
        <w:t>3.2 Если участник:</w:t>
      </w:r>
    </w:p>
    <w:p>
      <w:pPr>
        <w:pStyle w:val="ListParagraph"/>
        <w:numPr>
          <w:ilvl w:val="0"/>
          <w:numId w:val="1"/>
        </w:numPr>
        <w:spacing w:before="0" w:after="0"/>
        <w:ind w:left="0" w:firstLine="142"/>
        <w:contextualSpacing/>
        <w:rPr/>
      </w:pPr>
      <w:r>
        <w:rPr/>
        <w:t xml:space="preserve">использовал на дистанции GPS с цветным экраном, на котором установлены или есть возможность установить карты, не выданный организатором; </w:t>
      </w:r>
    </w:p>
    <w:p>
      <w:pPr>
        <w:pStyle w:val="ListParagraph"/>
        <w:numPr>
          <w:ilvl w:val="0"/>
          <w:numId w:val="1"/>
        </w:numPr>
        <w:spacing w:before="0" w:after="0"/>
        <w:ind w:left="0" w:firstLine="142"/>
        <w:contextualSpacing/>
        <w:rPr/>
      </w:pPr>
      <w:r>
        <w:rPr/>
        <w:t xml:space="preserve">использовал карты, отличные от карт, выданных или разрешённых организатором; </w:t>
      </w:r>
    </w:p>
    <w:p>
      <w:pPr>
        <w:pStyle w:val="ListParagraph"/>
        <w:numPr>
          <w:ilvl w:val="0"/>
          <w:numId w:val="1"/>
        </w:numPr>
        <w:spacing w:before="0" w:after="0"/>
        <w:ind w:left="0" w:firstLine="142"/>
        <w:contextualSpacing/>
        <w:rPr/>
      </w:pPr>
      <w:r>
        <w:rPr/>
        <w:t xml:space="preserve">использовал транспорт, не предусмотренный его форматом; </w:t>
      </w:r>
    </w:p>
    <w:p>
      <w:pPr>
        <w:pStyle w:val="ListParagraph"/>
        <w:numPr>
          <w:ilvl w:val="0"/>
          <w:numId w:val="1"/>
        </w:numPr>
        <w:spacing w:before="0" w:after="0"/>
        <w:ind w:left="0" w:firstLine="142"/>
        <w:contextualSpacing/>
        <w:rPr/>
      </w:pPr>
      <w:r>
        <w:rPr/>
        <w:t xml:space="preserve">не уследил за своим контрольным браслетом, и он оказался порванным до момента считывании чипа; </w:t>
      </w:r>
    </w:p>
    <w:p>
      <w:pPr>
        <w:pStyle w:val="ListParagraph"/>
        <w:numPr>
          <w:ilvl w:val="0"/>
          <w:numId w:val="1"/>
        </w:numPr>
        <w:spacing w:before="0" w:after="0"/>
        <w:ind w:left="0" w:firstLine="142"/>
        <w:contextualSpacing/>
        <w:rPr/>
      </w:pPr>
      <w:r>
        <w:rPr/>
        <w:t xml:space="preserve">сопровождал человека старше 8 лет и не зарегистрированного в качестве участника; </w:t>
      </w:r>
    </w:p>
    <w:p>
      <w:pPr>
        <w:pStyle w:val="Normal"/>
        <w:ind w:firstLine="284"/>
        <w:rPr/>
      </w:pPr>
      <w:r>
        <w:rPr/>
        <w:t>- то такой участник и его команда получает за этап в рейтинг ноль очков, лишаются места в протоколе результатов, не участвуют в награждении. Дополнительно участник и его команда, целенаправленно сопровождающие не зарегистрированного в качестве участника этапа человека старше 8 лет по дистанции, не являющегося представителем прессы (фотографом, сми), без разрешения главного судьи, получают пожизненную дисквалификацию на рогейнах кубка.</w:t>
      </w:r>
    </w:p>
    <w:p>
      <w:pPr>
        <w:pStyle w:val="Normal"/>
        <w:ind w:firstLine="284"/>
        <w:rPr/>
      </w:pPr>
      <w:r>
        <w:rPr/>
        <w:t xml:space="preserve">3.3 Участники обязуются бережно относиться к оборудованию и </w:t>
      </w:r>
      <w:r>
        <w:rPr>
          <w:lang w:val="en-US"/>
        </w:rPr>
        <w:t>GPS</w:t>
      </w:r>
      <w:r>
        <w:rPr/>
        <w:t>-приёмникам, выданными организаторами и использовать по своему прямому назначению.</w:t>
      </w:r>
    </w:p>
    <w:p>
      <w:pPr>
        <w:pStyle w:val="Normal"/>
        <w:ind w:firstLine="284"/>
        <w:rPr/>
      </w:pPr>
      <w:r>
        <w:rPr/>
        <w:t xml:space="preserve">3.4 Организаторы имеют право опубликовать в интернете и/или на стенде информации в центре мероприятия список участников и представителей команд, которые обязаны взять на дистанцию </w:t>
      </w:r>
      <w:r>
        <w:rPr>
          <w:lang w:val="en-US"/>
        </w:rPr>
        <w:t>GPS</w:t>
      </w:r>
      <w:r>
        <w:rPr/>
        <w:t xml:space="preserve">-оборудование организаторов. Дополнительно этот список должен быть оглашён на брифинге. Если обозначенные участники и их команды по любой причине, кроме воли организаторов, не берут </w:t>
      </w:r>
      <w:r>
        <w:rPr>
          <w:lang w:val="en-US"/>
        </w:rPr>
        <w:t>GPS</w:t>
      </w:r>
      <w:r>
        <w:rPr/>
        <w:t>-оборудование на дистанцию, то такие участники и команды могут быть дисквалифицированы.</w:t>
      </w:r>
    </w:p>
    <w:p>
      <w:pPr>
        <w:pStyle w:val="Normal"/>
        <w:ind w:firstLine="284"/>
        <w:rPr/>
      </w:pPr>
      <w:r>
        <w:rPr/>
        <w:t xml:space="preserve">3.5 За час до первого старта (если в документах этапа не оговорено иное) на каждом этапе в районе секретариата начинается предстартовый брифинг, на котором до участников доводится последняя информация, часть которой может быть не опубликована ранее, даются ответы на вопросы участников. Посещение брифинга добровольное, но подразумевается, что все участники ознакомлены с информацией, доведённой до участников на брифинге. Протесты, поданные из-за фактов, освещённых на брифинге, удовлетворению не подлежат в любом случае. </w:t>
      </w:r>
    </w:p>
    <w:p>
      <w:pPr>
        <w:pStyle w:val="Normal"/>
        <w:ind w:firstLine="284"/>
        <w:rPr/>
      </w:pPr>
      <w:r>
        <w:rPr/>
        <w:t xml:space="preserve">3.6 Если на пути участника к КП возникла преграда, не возможная к преодолению без высокого риска для жизни, не оговоренная на брифинге, не отмеченная на карте или в легенде, при этом, другого пути к КП без наличия таких преград не существует, участнику, дошедшему до такой преграды будет засчитана отметка на таком КП. </w:t>
      </w:r>
    </w:p>
    <w:p>
      <w:pPr>
        <w:pStyle w:val="Normal"/>
        <w:ind w:firstLine="284"/>
        <w:rPr/>
      </w:pPr>
      <w:r>
        <w:rPr/>
        <w:t xml:space="preserve">3.7 После финиша участников публикуются протоколы на бумажном или электронном носителе в центре мероприятия. По данным результатам принимаются протесты во время, указанное в документах этапа или объявленное судьями на месте старта по громкой связи. После приёма всех протестов (по окончании заявленного в документах времени или объявления по громкой связи) происходит награждение. Участники и команды, объявленные победителями и призёрами, получают призы и соответствующие звания навсегда, независимо от того, будет ли изменена тройка лидеров по вновь открывшимся обстоятельствам когда-либо впоследствии или нет. После награждения протокол результатов не может быть изменён. Но если в дальнейшем при обработке результатов компьютером или благодаря другим обстоятельствам выясняется один из фактов, изложенных в пунктах 3.1 и 3.2, то для соответствующих участников (команд) будут применены санкции, предусмотренные соответствующими пунктами за соответствующее нарушение. </w:t>
      </w:r>
    </w:p>
    <w:p>
      <w:pPr>
        <w:pStyle w:val="Normal"/>
        <w:ind w:firstLine="284"/>
        <w:rPr/>
      </w:pPr>
      <w:r>
        <w:rPr/>
        <w:t xml:space="preserve">3.8 Протесты по не засчитанным КП, поданные после отбытия с этапа, при условии, что они не были поданы на этапе, удовлетворению не подлежат. </w:t>
      </w:r>
    </w:p>
    <w:p>
      <w:pPr>
        <w:pStyle w:val="4"/>
        <w:spacing w:before="0" w:after="160"/>
        <w:ind w:firstLine="284"/>
        <w:rPr/>
      </w:pPr>
      <w:bookmarkStart w:id="3" w:name="_Toc500483167"/>
      <w:r>
        <w:rPr/>
        <w:t>4. Рейтинг, зачёт, командный зачёт, награждение.</w:t>
      </w:r>
      <w:bookmarkEnd w:id="3"/>
      <w:r>
        <w:rPr/>
        <w:t xml:space="preserve"> </w:t>
      </w:r>
    </w:p>
    <w:p>
      <w:pPr>
        <w:pStyle w:val="Normal"/>
        <w:ind w:firstLine="284"/>
        <w:rPr/>
      </w:pPr>
      <w:r>
        <w:rPr/>
        <w:t>4.1 Рейтинг участников публикуется на сайте www.</w:t>
      </w:r>
      <w:r>
        <w:rPr>
          <w:lang w:val="en-US"/>
        </w:rPr>
        <w:t>rogaining</w:t>
      </w:r>
      <w:r>
        <w:rPr/>
        <w:t>.</w:t>
      </w:r>
      <w:r>
        <w:rPr>
          <w:lang w:val="en-US"/>
        </w:rPr>
        <w:t>msk</w:t>
      </w:r>
      <w:r>
        <w:rPr/>
        <w:t xml:space="preserve">.ru в соответствующем разделе преимущественно в течение 2 недель с момента завершения каждого этапа. Но рейтинг может быть опубликован и позже в случае кражи/неисправности части оборудования на этапе или по иной весомой причине. </w:t>
      </w:r>
    </w:p>
    <w:p>
      <w:pPr>
        <w:pStyle w:val="Normal"/>
        <w:ind w:firstLine="284"/>
        <w:rPr/>
      </w:pPr>
      <w:r>
        <w:rPr/>
        <w:t>4.2 В рейтинг Кубка попадают все участники, кроме участников, выступающих по группам, в названии которых есть слово Open.</w:t>
      </w:r>
    </w:p>
    <w:p>
      <w:pPr>
        <w:pStyle w:val="Normal"/>
        <w:ind w:firstLine="284"/>
        <w:rPr/>
      </w:pPr>
      <w:r>
        <w:rPr/>
        <w:t xml:space="preserve"> </w:t>
      </w:r>
      <w:r>
        <w:rPr/>
        <w:t xml:space="preserve">4.3 На всех рогейнах рейтинг будет считаться по формуле: Рейтинг участника за Этап = Количество очков участника, собранное на этапе, делённое на количество очков абсолютного лидера его пола того же транспортного формата (Бег, Велосипед, Ролики, Лыжи), умноженное на 100. При равенстве рейтинга более высокое место присуждается спортсмену, выступавшему в большем числе этапов Кубка. При равенстве рейтинга и числа этапов более высокое место присуждается спортсмену с наивысшим суммарным рейтингом за все этапы. За «Золото Сенежа» рейтинг считается отдельно за этап на воде и на суше. За «Главный </w:t>
      </w:r>
      <w:r>
        <w:rPr>
          <w:lang w:val="en-US"/>
        </w:rPr>
        <w:t>Weekend</w:t>
      </w:r>
      <w:r>
        <w:rPr/>
        <w:t xml:space="preserve"> «Обновление»» - согласно Единому документу мероприятия.</w:t>
      </w:r>
    </w:p>
    <w:p>
      <w:pPr>
        <w:pStyle w:val="Normal"/>
        <w:ind w:firstLine="284"/>
        <w:rPr/>
      </w:pPr>
      <w:r>
        <w:rPr/>
        <w:t xml:space="preserve">4.4 Если по любому транспортному формату участвовало пять и менее мужских, смешанных команд и мужчин одиночек в сумме, либо три и менее женские команды с одиночными участницами в сумме, то при подсчёте рейтинга данные участники присоединяются к следующему в данном рогейне формату одинаковой длины по системе: бег-лыжи-ролики- велосипед-лыжи-бег. В случае отсутствия такого же по длине формата, с которым объединяют малочисленный формат, действует правило пункта 4.3. </w:t>
      </w:r>
    </w:p>
    <w:p>
      <w:pPr>
        <w:pStyle w:val="Normal"/>
        <w:ind w:firstLine="284"/>
        <w:rPr/>
      </w:pPr>
      <w:r>
        <w:rPr/>
        <w:t xml:space="preserve">4.5 В зачёт кубка входят все его этапы. Итоговый результат спортсмена определяется суммой </w:t>
      </w:r>
      <w:r>
        <w:rPr/>
        <w:t>шести</w:t>
      </w:r>
      <w:r>
        <w:rPr/>
        <w:t xml:space="preserve"> лучших результатов.</w:t>
      </w:r>
    </w:p>
    <w:p>
      <w:pPr>
        <w:pStyle w:val="Normal"/>
        <w:ind w:firstLine="284"/>
        <w:rPr/>
      </w:pPr>
      <w:r>
        <w:rPr/>
        <w:t xml:space="preserve">4.6 Размер итогового приза формируется следующим образом: от имени каждого участника из финишного протокола каждого этапа организаторы откладывают в призовой фонд Кубка 170 рублей, если участник 1965-1998 годов рождения, и 85 рублей, если участник 1964 года рождения и старше или 1999 года рождения и моложе. </w:t>
      </w:r>
    </w:p>
    <w:p>
      <w:pPr>
        <w:pStyle w:val="Normal"/>
        <w:ind w:firstLine="284"/>
        <w:rPr/>
      </w:pPr>
      <w:r>
        <w:rPr/>
        <w:t>4.7 Победители Кубка определяются согласно пунктам 4.3, 4.4, 4.6, 4.7 настоящего документа. В кубке всего 14 победителей, по семь победителей с максимальным рейтингом за 2019 год отдельно среди мужчин и отдельно среди женщин. Победители получают кубки и денежные призы в рублях, исчисляемые в процентах от собранного призового фонда, а также иные призы, если таковые предусмотрены. Размеры выигрыша в процентах: 1е места – по 11%, 2е места – по 9%, 3е места – по 8%, 4е места – по 7%, 5е места – по 6%, 6е места – по 5%, 7е места – по 4%. Выигрыш округляется до 50 рублей в большую сторону. В число победителей каждого пола обязательно должно входить минимум по одному участнику из каждой категории, указанной в пунктах А, Б, В, Г при соблюдении соответствующих условий, прописанных в пунктах:</w:t>
      </w:r>
    </w:p>
    <w:p>
      <w:pPr>
        <w:pStyle w:val="Normal"/>
        <w:ind w:firstLine="284"/>
        <w:rPr/>
      </w:pPr>
      <w:r>
        <w:rPr/>
        <w:t xml:space="preserve">А. Ветеран, если этот участник занял 7-9 место среди участников с максимальным рейтингом; </w:t>
      </w:r>
    </w:p>
    <w:p>
      <w:pPr>
        <w:pStyle w:val="Normal"/>
        <w:ind w:firstLine="284"/>
        <w:rPr/>
      </w:pPr>
      <w:r>
        <w:rPr/>
        <w:t xml:space="preserve">Б. СуперВетеран, если этот участник – мужчина - занял 7-18 место среди участников с максимальным рейтингом среди мужчин и если эта участница – женщина - заняла 7-22 место среди участниц с максимальным рейтингом среди женщин; </w:t>
      </w:r>
    </w:p>
    <w:p>
      <w:pPr>
        <w:pStyle w:val="Normal"/>
        <w:ind w:firstLine="284"/>
        <w:rPr/>
      </w:pPr>
      <w:r>
        <w:rPr/>
        <w:t xml:space="preserve">В. Юниор(ка), если этот участник занял 7-18 место среди участников с максимальным рейтингом. </w:t>
      </w:r>
    </w:p>
    <w:p>
      <w:pPr>
        <w:pStyle w:val="Normal"/>
        <w:ind w:firstLine="284"/>
        <w:rPr/>
      </w:pPr>
      <w:r>
        <w:rPr/>
        <w:t xml:space="preserve">Г. Участник(ца), среди результатов которого(й) более чем половина результатов за участие в беговых форматах и участник(ца), среди результатов которого(й) более чем половина результатов за участие в не беговых форматах, если такие участники заняли 7-10 места среди участников с максимальным рейтингом. </w:t>
      </w:r>
    </w:p>
    <w:p>
      <w:pPr>
        <w:pStyle w:val="Normal"/>
        <w:ind w:firstLine="284"/>
        <w:rPr/>
      </w:pPr>
      <w:r>
        <w:rPr/>
        <w:t xml:space="preserve">Если кто-либо из описанных в пунктах А, Б, В, Г настоящей статьи категорий участников занял 1-6 место среди участников с максимальным рейтингом, то в отношении других участников его категории указанное в пунктах А, Б, В, Г настоящей статьи не распространяется, в ином случае – распространяется только на одного участника, соответствующей категории из пунктов А, Б, В, Г – участника с более высоким рейтингом. Тогда такой (такие) участник(и) попадают в призовую шестёрку в порядке занятых ими мест, вытесняя оттуда других участников. Участники категорий из пунктов А, Б, В, Г настоящей статьи не могут вытеснять из призовой шестёрки друг друга так, чтобы не осталось ни одного участника, описанного в пунктах А, Б, В, Г настоящей статьи. </w:t>
      </w:r>
    </w:p>
    <w:p>
      <w:pPr>
        <w:pStyle w:val="Normal"/>
        <w:ind w:firstLine="284"/>
        <w:rPr/>
      </w:pPr>
      <w:r>
        <w:rPr/>
        <w:t xml:space="preserve">4.8 Финальное награждение за Кубок проходит на последнем этапе кубка или на одном из спортивных мероприятий, организованным «Маршрут-GROUP», о чём будет объявлено до окончания заявки на Финальный этап. </w:t>
      </w:r>
    </w:p>
    <w:p>
      <w:pPr>
        <w:pStyle w:val="4"/>
        <w:spacing w:before="0" w:after="160"/>
        <w:ind w:firstLine="284"/>
        <w:rPr/>
      </w:pPr>
      <w:bookmarkStart w:id="4" w:name="_Toc500483168"/>
      <w:r>
        <w:rPr/>
        <w:t>5. Финансовые условия.</w:t>
      </w:r>
      <w:bookmarkEnd w:id="4"/>
      <w:r>
        <w:rPr/>
        <w:t xml:space="preserve"> </w:t>
      </w:r>
    </w:p>
    <w:p>
      <w:pPr>
        <w:pStyle w:val="Normal"/>
        <w:ind w:firstLine="284"/>
        <w:rPr/>
      </w:pPr>
      <w:r>
        <w:rPr/>
        <w:t xml:space="preserve">5.1 Уплаченные стартовые взносы и купленные абонементы юридически являются добровольными целевыми пожертвованиями с целью развития мероприятий кубка «Золотой Маршрут». Оплата добровольных пожертвований являются гарантией со стороны организаторов на участие именно того участника именно в том мероприятии (тех мероприятиях), в счёт фонда развития которых уплачены пожертвования. Поэтому, оплата одного участника за одно мероприятие не может быть зачислена в счёт участия другого участника в данном мероприятии или того же участника в другом мероприятии. То есть, вместо одного участника, оплатившего заранее взнос, не может бежать дистанцию другой участник без оплаты (доплаты) своего участия, даже в случае неявки первого участника по любой причине. При этом все перезаявки ранее оплаченных участников из команды в команду, из формата в формат, образование новых команд и разделение команды на одиночных участников без изменения персональных данных участников – бесплатны. </w:t>
      </w:r>
    </w:p>
    <w:p>
      <w:pPr>
        <w:pStyle w:val="Normal"/>
        <w:ind w:firstLine="284"/>
        <w:rPr/>
      </w:pPr>
      <w:r>
        <w:rPr/>
        <w:t>5.2 Оплата участия одного этапа не может быть перенесена в счёт оплаты участия в другом этапе, кроме двух случаев, указанных в пункте 5.6.</w:t>
      </w:r>
    </w:p>
    <w:p>
      <w:pPr>
        <w:pStyle w:val="Normal"/>
        <w:ind w:firstLine="284"/>
        <w:rPr/>
      </w:pPr>
      <w:r>
        <w:rPr/>
        <w:t>5.3 Размер стартовых взносов на 2019 год на все рогейны, кроме этапов «Центр Европы», «Золото Сенежа» на воде, «Пальмира Севера» указан с человека в российских рублях, его размер зависит от возраста участника на дату старта и от того, когда и каким по счёту участник выкупил свой слот (оплатил участие), а не подал заявку и определяется согласно таблице:</w:t>
      </w:r>
    </w:p>
    <w:tbl>
      <w:tblPr>
        <w:tblStyle w:val="a5"/>
        <w:tblW w:w="10763" w:type="dxa"/>
        <w:jc w:val="left"/>
        <w:tblInd w:w="0" w:type="dxa"/>
        <w:tblCellMar>
          <w:top w:w="0" w:type="dxa"/>
          <w:left w:w="108" w:type="dxa"/>
          <w:bottom w:w="0" w:type="dxa"/>
          <w:right w:w="108" w:type="dxa"/>
        </w:tblCellMar>
        <w:tblLook w:firstRow="1" w:noVBand="1" w:lastRow="0" w:firstColumn="1" w:lastColumn="0" w:noHBand="0" w:val="04a0"/>
      </w:tblPr>
      <w:tblGrid>
        <w:gridCol w:w="2588"/>
        <w:gridCol w:w="1725"/>
        <w:gridCol w:w="2200"/>
        <w:gridCol w:w="2247"/>
        <w:gridCol w:w="2003"/>
      </w:tblGrid>
      <w:tr>
        <w:trPr/>
        <w:tc>
          <w:tcPr>
            <w:tcW w:w="2588" w:type="dxa"/>
            <w:tcBorders/>
            <w:shd w:fill="auto" w:val="clear"/>
          </w:tcPr>
          <w:p>
            <w:pPr>
              <w:pStyle w:val="Normal"/>
              <w:spacing w:lineRule="auto" w:line="240" w:before="0" w:after="0"/>
              <w:rPr/>
            </w:pPr>
            <w:r>
              <w:rPr/>
              <w:t>Максимальное количество продаваемых слотов*</w:t>
            </w:r>
          </w:p>
        </w:tc>
        <w:tc>
          <w:tcPr>
            <w:tcW w:w="1725" w:type="dxa"/>
            <w:tcBorders/>
            <w:shd w:fill="auto" w:val="clear"/>
          </w:tcPr>
          <w:p>
            <w:pPr>
              <w:pStyle w:val="Normal"/>
              <w:spacing w:lineRule="auto" w:line="240" w:before="0" w:after="0"/>
              <w:rPr/>
            </w:pPr>
            <w:r>
              <w:rPr/>
              <w:t>Дата продажи слотов</w:t>
            </w:r>
          </w:p>
        </w:tc>
        <w:tc>
          <w:tcPr>
            <w:tcW w:w="2200" w:type="dxa"/>
            <w:tcBorders/>
            <w:shd w:fill="auto" w:val="clear"/>
          </w:tcPr>
          <w:p>
            <w:pPr>
              <w:pStyle w:val="Normal"/>
              <w:spacing w:lineRule="auto" w:line="240" w:before="0" w:after="0"/>
              <w:rPr/>
            </w:pPr>
            <w:r>
              <w:rPr/>
              <w:t>Участники от 21 до 54 лет включительно</w:t>
            </w:r>
          </w:p>
        </w:tc>
        <w:tc>
          <w:tcPr>
            <w:tcW w:w="2247" w:type="dxa"/>
            <w:tcBorders/>
            <w:shd w:fill="auto" w:val="clear"/>
          </w:tcPr>
          <w:p>
            <w:pPr>
              <w:pStyle w:val="Normal"/>
              <w:spacing w:lineRule="auto" w:line="240" w:before="0" w:after="0"/>
              <w:rPr/>
            </w:pPr>
            <w:r>
              <w:rPr/>
              <w:t>Участники 15-20 лет, 55 лет и старше</w:t>
            </w:r>
          </w:p>
        </w:tc>
        <w:tc>
          <w:tcPr>
            <w:tcW w:w="2003" w:type="dxa"/>
            <w:tcBorders/>
            <w:shd w:fill="auto" w:val="clear"/>
          </w:tcPr>
          <w:p>
            <w:pPr>
              <w:pStyle w:val="Normal"/>
              <w:spacing w:lineRule="auto" w:line="240" w:before="0" w:after="0"/>
              <w:rPr/>
            </w:pPr>
            <w:r>
              <w:rPr/>
              <w:t>Участники 14 лет и моложе</w:t>
            </w:r>
          </w:p>
        </w:tc>
      </w:tr>
      <w:tr>
        <w:trPr/>
        <w:tc>
          <w:tcPr>
            <w:tcW w:w="2588" w:type="dxa"/>
            <w:tcBorders/>
            <w:shd w:fill="auto" w:val="clear"/>
          </w:tcPr>
          <w:p>
            <w:pPr>
              <w:pStyle w:val="Normal"/>
              <w:spacing w:lineRule="auto" w:line="240" w:before="0" w:after="0"/>
              <w:rPr/>
            </w:pPr>
            <w:r>
              <w:rPr/>
              <w:t>30</w:t>
            </w:r>
          </w:p>
        </w:tc>
        <w:tc>
          <w:tcPr>
            <w:tcW w:w="1725" w:type="dxa"/>
            <w:vMerge w:val="restart"/>
            <w:tcBorders/>
            <w:shd w:fill="auto" w:val="clear"/>
          </w:tcPr>
          <w:p>
            <w:pPr>
              <w:pStyle w:val="Normal"/>
              <w:spacing w:lineRule="auto" w:line="240" w:before="0" w:after="0"/>
              <w:rPr/>
            </w:pPr>
            <w:r>
              <w:rPr/>
              <w:t>Дека</w:t>
            </w:r>
            <w:bookmarkStart w:id="5" w:name="_GoBack"/>
            <w:bookmarkEnd w:id="5"/>
            <w:r>
              <w:rPr/>
              <w:t>брь 2018 г.</w:t>
            </w:r>
          </w:p>
        </w:tc>
        <w:tc>
          <w:tcPr>
            <w:tcW w:w="2200" w:type="dxa"/>
            <w:tcBorders/>
            <w:shd w:fill="auto" w:val="clear"/>
          </w:tcPr>
          <w:p>
            <w:pPr>
              <w:pStyle w:val="Normal"/>
              <w:spacing w:lineRule="auto" w:line="240" w:before="0" w:after="0"/>
              <w:rPr/>
            </w:pPr>
            <w:r>
              <w:rPr/>
              <w:t>800</w:t>
            </w:r>
          </w:p>
        </w:tc>
        <w:tc>
          <w:tcPr>
            <w:tcW w:w="2247" w:type="dxa"/>
            <w:tcBorders/>
            <w:shd w:fill="auto" w:val="clear"/>
          </w:tcPr>
          <w:p>
            <w:pPr>
              <w:pStyle w:val="Normal"/>
              <w:spacing w:lineRule="auto" w:line="240" w:before="0" w:after="0"/>
              <w:rPr/>
            </w:pPr>
            <w:r>
              <w:rPr/>
              <w:t>400</w:t>
            </w:r>
          </w:p>
        </w:tc>
        <w:tc>
          <w:tcPr>
            <w:tcW w:w="2003" w:type="dxa"/>
            <w:tcBorders/>
            <w:shd w:fill="auto" w:val="clear"/>
          </w:tcPr>
          <w:p>
            <w:pPr>
              <w:pStyle w:val="Normal"/>
              <w:spacing w:lineRule="auto" w:line="240" w:before="0" w:after="0"/>
              <w:rPr/>
            </w:pPr>
            <w:r>
              <w:rPr/>
              <w:t>0</w:t>
            </w:r>
          </w:p>
        </w:tc>
      </w:tr>
      <w:tr>
        <w:trPr/>
        <w:tc>
          <w:tcPr>
            <w:tcW w:w="2588" w:type="dxa"/>
            <w:tcBorders/>
            <w:shd w:fill="auto" w:val="clear"/>
          </w:tcPr>
          <w:p>
            <w:pPr>
              <w:pStyle w:val="Normal"/>
              <w:spacing w:lineRule="auto" w:line="240" w:before="0" w:after="0"/>
              <w:rPr/>
            </w:pPr>
            <w:r>
              <w:rPr/>
              <w:t xml:space="preserve">100 </w:t>
            </w:r>
          </w:p>
        </w:tc>
        <w:tc>
          <w:tcPr>
            <w:tcW w:w="1725" w:type="dxa"/>
            <w:vMerge w:val="continue"/>
            <w:tcBorders/>
            <w:shd w:fill="auto" w:val="clear"/>
          </w:tcPr>
          <w:p>
            <w:pPr>
              <w:pStyle w:val="Normal"/>
              <w:spacing w:lineRule="auto" w:line="240" w:before="0" w:after="0"/>
              <w:rPr/>
            </w:pPr>
            <w:r>
              <w:rPr/>
            </w:r>
          </w:p>
        </w:tc>
        <w:tc>
          <w:tcPr>
            <w:tcW w:w="2200" w:type="dxa"/>
            <w:tcBorders/>
            <w:shd w:fill="auto" w:val="clear"/>
          </w:tcPr>
          <w:p>
            <w:pPr>
              <w:pStyle w:val="Normal"/>
              <w:spacing w:lineRule="auto" w:line="240" w:before="0" w:after="0"/>
              <w:rPr/>
            </w:pPr>
            <w:r>
              <w:rPr/>
              <w:t>1200</w:t>
            </w:r>
          </w:p>
        </w:tc>
        <w:tc>
          <w:tcPr>
            <w:tcW w:w="2247" w:type="dxa"/>
            <w:tcBorders/>
            <w:shd w:fill="auto" w:val="clear"/>
          </w:tcPr>
          <w:p>
            <w:pPr>
              <w:pStyle w:val="Normal"/>
              <w:spacing w:lineRule="auto" w:line="240" w:before="0" w:after="0"/>
              <w:rPr/>
            </w:pPr>
            <w:r>
              <w:rPr/>
              <w:t>600</w:t>
            </w:r>
          </w:p>
        </w:tc>
        <w:tc>
          <w:tcPr>
            <w:tcW w:w="2003" w:type="dxa"/>
            <w:tcBorders/>
            <w:shd w:fill="auto" w:val="clear"/>
          </w:tcPr>
          <w:p>
            <w:pPr>
              <w:pStyle w:val="Normal"/>
              <w:spacing w:lineRule="auto" w:line="240" w:before="0" w:after="0"/>
              <w:rPr/>
            </w:pPr>
            <w:r>
              <w:rPr/>
              <w:t>0</w:t>
            </w:r>
          </w:p>
        </w:tc>
      </w:tr>
      <w:tr>
        <w:trPr/>
        <w:tc>
          <w:tcPr>
            <w:tcW w:w="2588" w:type="dxa"/>
            <w:tcBorders/>
            <w:shd w:fill="auto" w:val="clear"/>
          </w:tcPr>
          <w:p>
            <w:pPr>
              <w:pStyle w:val="Normal"/>
              <w:spacing w:lineRule="auto" w:line="240" w:before="0" w:after="0"/>
              <w:rPr/>
            </w:pPr>
            <w:r>
              <w:rPr/>
              <w:t>100</w:t>
            </w:r>
          </w:p>
        </w:tc>
        <w:tc>
          <w:tcPr>
            <w:tcW w:w="1725" w:type="dxa"/>
            <w:vMerge w:val="restart"/>
            <w:tcBorders/>
            <w:shd w:fill="auto" w:val="clear"/>
          </w:tcPr>
          <w:p>
            <w:pPr>
              <w:pStyle w:val="Normal"/>
              <w:spacing w:lineRule="auto" w:line="240" w:before="0" w:after="0"/>
              <w:rPr/>
            </w:pPr>
            <w:r>
              <w:rPr/>
              <w:t>С 1 янв.2019г и до исчерпания</w:t>
            </w:r>
          </w:p>
        </w:tc>
        <w:tc>
          <w:tcPr>
            <w:tcW w:w="2200" w:type="dxa"/>
            <w:tcBorders/>
            <w:shd w:fill="auto" w:val="clear"/>
          </w:tcPr>
          <w:p>
            <w:pPr>
              <w:pStyle w:val="Normal"/>
              <w:spacing w:lineRule="auto" w:line="240" w:before="0" w:after="0"/>
              <w:rPr/>
            </w:pPr>
            <w:r>
              <w:rPr/>
              <w:t>1600</w:t>
            </w:r>
          </w:p>
        </w:tc>
        <w:tc>
          <w:tcPr>
            <w:tcW w:w="2247" w:type="dxa"/>
            <w:tcBorders/>
            <w:shd w:fill="auto" w:val="clear"/>
          </w:tcPr>
          <w:p>
            <w:pPr>
              <w:pStyle w:val="Normal"/>
              <w:spacing w:lineRule="auto" w:line="240" w:before="0" w:after="0"/>
              <w:rPr/>
            </w:pPr>
            <w:r>
              <w:rPr/>
              <w:t>800</w:t>
            </w:r>
          </w:p>
        </w:tc>
        <w:tc>
          <w:tcPr>
            <w:tcW w:w="2003" w:type="dxa"/>
            <w:tcBorders/>
            <w:shd w:fill="auto" w:val="clear"/>
          </w:tcPr>
          <w:p>
            <w:pPr>
              <w:pStyle w:val="Normal"/>
              <w:spacing w:lineRule="auto" w:line="240" w:before="0" w:after="0"/>
              <w:rPr/>
            </w:pPr>
            <w:r>
              <w:rPr/>
              <w:t>0</w:t>
            </w:r>
          </w:p>
        </w:tc>
      </w:tr>
      <w:tr>
        <w:trPr/>
        <w:tc>
          <w:tcPr>
            <w:tcW w:w="2588" w:type="dxa"/>
            <w:tcBorders/>
            <w:shd w:fill="auto" w:val="clear"/>
          </w:tcPr>
          <w:p>
            <w:pPr>
              <w:pStyle w:val="Normal"/>
              <w:spacing w:lineRule="auto" w:line="240" w:before="0" w:after="0"/>
              <w:rPr/>
            </w:pPr>
            <w:r>
              <w:rPr/>
              <w:t>500</w:t>
            </w:r>
          </w:p>
        </w:tc>
        <w:tc>
          <w:tcPr>
            <w:tcW w:w="1725" w:type="dxa"/>
            <w:vMerge w:val="continue"/>
            <w:tcBorders/>
            <w:shd w:fill="auto" w:val="clear"/>
          </w:tcPr>
          <w:p>
            <w:pPr>
              <w:pStyle w:val="Normal"/>
              <w:spacing w:lineRule="auto" w:line="240" w:before="0" w:after="0"/>
              <w:rPr/>
            </w:pPr>
            <w:r>
              <w:rPr/>
            </w:r>
          </w:p>
        </w:tc>
        <w:tc>
          <w:tcPr>
            <w:tcW w:w="2200" w:type="dxa"/>
            <w:tcBorders/>
            <w:shd w:fill="auto" w:val="clear"/>
          </w:tcPr>
          <w:p>
            <w:pPr>
              <w:pStyle w:val="Normal"/>
              <w:spacing w:lineRule="auto" w:line="240" w:before="0" w:after="0"/>
              <w:rPr/>
            </w:pPr>
            <w:r>
              <w:rPr/>
              <w:t>1900</w:t>
            </w:r>
          </w:p>
        </w:tc>
        <w:tc>
          <w:tcPr>
            <w:tcW w:w="2247" w:type="dxa"/>
            <w:tcBorders/>
            <w:shd w:fill="auto" w:val="clear"/>
          </w:tcPr>
          <w:p>
            <w:pPr>
              <w:pStyle w:val="Normal"/>
              <w:spacing w:lineRule="auto" w:line="240" w:before="0" w:after="0"/>
              <w:rPr/>
            </w:pPr>
            <w:r>
              <w:rPr/>
              <w:t>990</w:t>
            </w:r>
          </w:p>
        </w:tc>
        <w:tc>
          <w:tcPr>
            <w:tcW w:w="2003" w:type="dxa"/>
            <w:tcBorders/>
            <w:shd w:fill="auto" w:val="clear"/>
          </w:tcPr>
          <w:p>
            <w:pPr>
              <w:pStyle w:val="Normal"/>
              <w:spacing w:lineRule="auto" w:line="240" w:before="0" w:after="0"/>
              <w:rPr/>
            </w:pPr>
            <w:r>
              <w:rPr/>
              <w:t>0</w:t>
            </w:r>
          </w:p>
        </w:tc>
      </w:tr>
      <w:tr>
        <w:trPr/>
        <w:tc>
          <w:tcPr>
            <w:tcW w:w="2588" w:type="dxa"/>
            <w:tcBorders/>
            <w:shd w:fill="auto" w:val="clear"/>
          </w:tcPr>
          <w:p>
            <w:pPr>
              <w:pStyle w:val="Normal"/>
              <w:spacing w:lineRule="auto" w:line="240" w:before="0" w:after="0"/>
              <w:rPr/>
            </w:pPr>
            <w:r>
              <w:rPr/>
              <w:t>Заявка или оплата на старте</w:t>
            </w:r>
          </w:p>
        </w:tc>
        <w:tc>
          <w:tcPr>
            <w:tcW w:w="1725" w:type="dxa"/>
            <w:tcBorders/>
            <w:shd w:fill="auto" w:val="clear"/>
          </w:tcPr>
          <w:p>
            <w:pPr>
              <w:pStyle w:val="Normal"/>
              <w:spacing w:lineRule="auto" w:line="240" w:before="0" w:after="0"/>
              <w:rPr/>
            </w:pPr>
            <w:r>
              <w:rPr/>
              <w:t xml:space="preserve">На старте </w:t>
            </w:r>
          </w:p>
        </w:tc>
        <w:tc>
          <w:tcPr>
            <w:tcW w:w="2200" w:type="dxa"/>
            <w:tcBorders/>
            <w:shd w:fill="auto" w:val="clear"/>
          </w:tcPr>
          <w:p>
            <w:pPr>
              <w:pStyle w:val="Normal"/>
              <w:spacing w:lineRule="auto" w:line="240" w:before="0" w:after="0"/>
              <w:rPr/>
            </w:pPr>
            <w:r>
              <w:rPr/>
              <w:t>2200</w:t>
            </w:r>
          </w:p>
        </w:tc>
        <w:tc>
          <w:tcPr>
            <w:tcW w:w="2247" w:type="dxa"/>
            <w:tcBorders/>
            <w:shd w:fill="auto" w:val="clear"/>
          </w:tcPr>
          <w:p>
            <w:pPr>
              <w:pStyle w:val="Normal"/>
              <w:spacing w:lineRule="auto" w:line="240" w:before="0" w:after="0"/>
              <w:rPr/>
            </w:pPr>
            <w:r>
              <w:rPr/>
              <w:t>1200</w:t>
            </w:r>
          </w:p>
        </w:tc>
        <w:tc>
          <w:tcPr>
            <w:tcW w:w="2003" w:type="dxa"/>
            <w:tcBorders/>
            <w:shd w:fill="auto" w:val="clear"/>
          </w:tcPr>
          <w:p>
            <w:pPr>
              <w:pStyle w:val="Normal"/>
              <w:spacing w:lineRule="auto" w:line="240" w:before="0" w:after="0"/>
              <w:rPr/>
            </w:pPr>
            <w:r>
              <w:rPr/>
              <w:t>400</w:t>
            </w:r>
          </w:p>
        </w:tc>
      </w:tr>
      <w:tr>
        <w:trPr/>
        <w:tc>
          <w:tcPr>
            <w:tcW w:w="2588" w:type="dxa"/>
            <w:tcBorders/>
            <w:shd w:fill="auto" w:val="clear"/>
          </w:tcPr>
          <w:p>
            <w:pPr>
              <w:pStyle w:val="Normal"/>
              <w:spacing w:lineRule="auto" w:line="240" w:before="0" w:after="0"/>
              <w:rPr/>
            </w:pPr>
            <w:r>
              <w:rPr/>
              <w:t>Переоформление слота на другого человека</w:t>
            </w:r>
          </w:p>
        </w:tc>
        <w:tc>
          <w:tcPr>
            <w:tcW w:w="1725" w:type="dxa"/>
            <w:tcBorders/>
            <w:shd w:fill="auto" w:val="clear"/>
          </w:tcPr>
          <w:p>
            <w:pPr>
              <w:pStyle w:val="Normal"/>
              <w:spacing w:lineRule="auto" w:line="240" w:before="0" w:after="0"/>
              <w:rPr/>
            </w:pPr>
            <w:r>
              <w:rPr/>
            </w:r>
          </w:p>
        </w:tc>
        <w:tc>
          <w:tcPr>
            <w:tcW w:w="2200" w:type="dxa"/>
            <w:tcBorders/>
            <w:shd w:fill="auto" w:val="clear"/>
          </w:tcPr>
          <w:p>
            <w:pPr>
              <w:pStyle w:val="Normal"/>
              <w:spacing w:lineRule="auto" w:line="240" w:before="0" w:after="0"/>
              <w:rPr/>
            </w:pPr>
            <w:r>
              <w:rPr/>
              <w:t>500 на участника любой ценовой категории</w:t>
            </w:r>
          </w:p>
        </w:tc>
        <w:tc>
          <w:tcPr>
            <w:tcW w:w="2247" w:type="dxa"/>
            <w:tcBorders/>
            <w:shd w:fill="auto" w:val="clear"/>
          </w:tcPr>
          <w:p>
            <w:pPr>
              <w:pStyle w:val="Normal"/>
              <w:spacing w:lineRule="auto" w:line="240" w:before="0" w:after="0"/>
              <w:rPr/>
            </w:pPr>
            <w:r>
              <w:rPr/>
              <w:t xml:space="preserve">500/1000 на участника этой/ /другой ценовой категории </w:t>
            </w:r>
          </w:p>
        </w:tc>
        <w:tc>
          <w:tcPr>
            <w:tcW w:w="2003" w:type="dxa"/>
            <w:tcBorders/>
            <w:shd w:fill="auto" w:val="clear"/>
          </w:tcPr>
          <w:p>
            <w:pPr>
              <w:pStyle w:val="Normal"/>
              <w:spacing w:lineRule="auto" w:line="240" w:before="0" w:after="0"/>
              <w:rPr/>
            </w:pPr>
            <w:r>
              <w:rPr/>
              <w:t>Не производится</w:t>
            </w:r>
          </w:p>
        </w:tc>
      </w:tr>
      <w:tr>
        <w:trPr/>
        <w:tc>
          <w:tcPr>
            <w:tcW w:w="10763" w:type="dxa"/>
            <w:gridSpan w:val="5"/>
            <w:tcBorders/>
            <w:shd w:fill="auto" w:val="clear"/>
          </w:tcPr>
          <w:p>
            <w:pPr>
              <w:pStyle w:val="Normal"/>
              <w:spacing w:lineRule="auto" w:line="240" w:before="0" w:after="0"/>
              <w:rPr/>
            </w:pPr>
            <w:r>
              <w:rPr/>
              <w:t>*По достижению общего лимита оплаченных заявок в 600, заявка закрывается досрочно.</w:t>
            </w:r>
          </w:p>
        </w:tc>
      </w:tr>
    </w:tbl>
    <w:p>
      <w:pPr>
        <w:pStyle w:val="Normal"/>
        <w:spacing w:before="0" w:after="0"/>
        <w:rPr/>
      </w:pPr>
      <w:r>
        <w:rPr/>
        <w:t>Количество проданных слотов разной ценовой категории суммируется в общее число. Если участник купил абонемент согласно пункту 5.8, подал заявку, то такой слот также попадает в общее число выкупленных слотов. После подачи заявки система бронирует под участника слот на определённое время, отведённое для оплаты. По окончании этого времени бронь отменяется, слот возвращается в продажу. Во время покупки последних слотов время на оплату сокращается системой, бронирование слотов приостанавливается до оплаты последнего забронированного слота по старой цене. При оплате бронирование открывается по новой цене. При неоплате слот возвращается в продажу, и всё происходит повторно.</w:t>
      </w:r>
    </w:p>
    <w:p>
      <w:pPr>
        <w:pStyle w:val="Normal"/>
        <w:ind w:firstLine="284"/>
        <w:rPr/>
      </w:pPr>
      <w:r>
        <w:rPr/>
        <w:t>Размер стартовых взносов на 2019 год на этапы «Центр Европы», «Золото Сенежа» на воде, «Пальмира Севера» указан с человека в российских рублях, его размер зависит от возраста участника на дату старта и указан в таблице ниже:</w:t>
      </w:r>
    </w:p>
    <w:tbl>
      <w:tblPr>
        <w:tblStyle w:val="a5"/>
        <w:tblW w:w="10764" w:type="dxa"/>
        <w:jc w:val="left"/>
        <w:tblInd w:w="0" w:type="dxa"/>
        <w:tblCellMar>
          <w:top w:w="0" w:type="dxa"/>
          <w:left w:w="108" w:type="dxa"/>
          <w:bottom w:w="0" w:type="dxa"/>
          <w:right w:w="108" w:type="dxa"/>
        </w:tblCellMar>
        <w:tblLook w:firstRow="1" w:noVBand="1" w:lastRow="0" w:firstColumn="1" w:lastColumn="0" w:noHBand="0" w:val="04a0"/>
      </w:tblPr>
      <w:tblGrid>
        <w:gridCol w:w="2690"/>
        <w:gridCol w:w="2691"/>
        <w:gridCol w:w="2691"/>
        <w:gridCol w:w="2691"/>
      </w:tblGrid>
      <w:tr>
        <w:trPr/>
        <w:tc>
          <w:tcPr>
            <w:tcW w:w="2690" w:type="dxa"/>
            <w:tcBorders/>
            <w:shd w:fill="auto" w:val="clear"/>
          </w:tcPr>
          <w:p>
            <w:pPr>
              <w:pStyle w:val="Normal"/>
              <w:spacing w:lineRule="auto" w:line="240" w:before="0" w:after="0"/>
              <w:rPr/>
            </w:pPr>
            <w:r>
              <w:rPr/>
              <w:t>Максимальное количество проданных слотов</w:t>
            </w:r>
          </w:p>
        </w:tc>
        <w:tc>
          <w:tcPr>
            <w:tcW w:w="2691" w:type="dxa"/>
            <w:tcBorders/>
            <w:shd w:fill="auto" w:val="clear"/>
          </w:tcPr>
          <w:p>
            <w:pPr>
              <w:pStyle w:val="Normal"/>
              <w:spacing w:lineRule="auto" w:line="240" w:before="0" w:after="0"/>
              <w:rPr/>
            </w:pPr>
            <w:r>
              <w:rPr/>
              <w:t>Участники от 21 до 54 лет включительно</w:t>
            </w:r>
          </w:p>
        </w:tc>
        <w:tc>
          <w:tcPr>
            <w:tcW w:w="2691" w:type="dxa"/>
            <w:tcBorders/>
            <w:shd w:fill="auto" w:val="clear"/>
          </w:tcPr>
          <w:p>
            <w:pPr>
              <w:pStyle w:val="Normal"/>
              <w:spacing w:lineRule="auto" w:line="240" w:before="0" w:after="0"/>
              <w:rPr/>
            </w:pPr>
            <w:r>
              <w:rPr/>
              <w:t>Участники 15-20 лет, 55 лет и старше</w:t>
            </w:r>
          </w:p>
        </w:tc>
        <w:tc>
          <w:tcPr>
            <w:tcW w:w="2691" w:type="dxa"/>
            <w:tcBorders/>
            <w:shd w:fill="auto" w:val="clear"/>
          </w:tcPr>
          <w:p>
            <w:pPr>
              <w:pStyle w:val="Normal"/>
              <w:spacing w:lineRule="auto" w:line="240" w:before="0" w:after="0"/>
              <w:rPr/>
            </w:pPr>
            <w:r>
              <w:rPr/>
              <w:t>Участники 14 лет и моложе</w:t>
            </w:r>
          </w:p>
        </w:tc>
      </w:tr>
      <w:tr>
        <w:trPr/>
        <w:tc>
          <w:tcPr>
            <w:tcW w:w="2690" w:type="dxa"/>
            <w:tcBorders/>
            <w:shd w:fill="auto" w:val="clear"/>
          </w:tcPr>
          <w:p>
            <w:pPr>
              <w:pStyle w:val="Normal"/>
              <w:spacing w:lineRule="auto" w:line="240" w:before="0" w:after="0"/>
              <w:rPr/>
            </w:pPr>
            <w:r>
              <w:rPr/>
              <w:t>1-600</w:t>
            </w:r>
          </w:p>
        </w:tc>
        <w:tc>
          <w:tcPr>
            <w:tcW w:w="2691" w:type="dxa"/>
            <w:tcBorders/>
            <w:shd w:fill="auto" w:val="clear"/>
          </w:tcPr>
          <w:p>
            <w:pPr>
              <w:pStyle w:val="Normal"/>
              <w:spacing w:lineRule="auto" w:line="240" w:before="0" w:after="0"/>
              <w:rPr/>
            </w:pPr>
            <w:r>
              <w:rPr/>
              <w:t>1400</w:t>
            </w:r>
          </w:p>
        </w:tc>
        <w:tc>
          <w:tcPr>
            <w:tcW w:w="2691" w:type="dxa"/>
            <w:tcBorders/>
            <w:shd w:fill="auto" w:val="clear"/>
          </w:tcPr>
          <w:p>
            <w:pPr>
              <w:pStyle w:val="Normal"/>
              <w:spacing w:lineRule="auto" w:line="240" w:before="0" w:after="0"/>
              <w:rPr/>
            </w:pPr>
            <w:r>
              <w:rPr/>
              <w:t>700</w:t>
            </w:r>
          </w:p>
        </w:tc>
        <w:tc>
          <w:tcPr>
            <w:tcW w:w="2691" w:type="dxa"/>
            <w:tcBorders/>
            <w:shd w:fill="auto" w:val="clear"/>
          </w:tcPr>
          <w:p>
            <w:pPr>
              <w:pStyle w:val="Normal"/>
              <w:spacing w:lineRule="auto" w:line="240" w:before="0" w:after="0"/>
              <w:rPr/>
            </w:pPr>
            <w:r>
              <w:rPr/>
              <w:t>0</w:t>
            </w:r>
          </w:p>
        </w:tc>
      </w:tr>
      <w:tr>
        <w:trPr/>
        <w:tc>
          <w:tcPr>
            <w:tcW w:w="2690" w:type="dxa"/>
            <w:tcBorders/>
            <w:shd w:fill="auto" w:val="clear"/>
          </w:tcPr>
          <w:p>
            <w:pPr>
              <w:pStyle w:val="Normal"/>
              <w:spacing w:lineRule="auto" w:line="240" w:before="0" w:after="0"/>
              <w:rPr/>
            </w:pPr>
            <w:r>
              <w:rPr/>
              <w:t>Заявка или оплата на месте старта</w:t>
            </w:r>
          </w:p>
        </w:tc>
        <w:tc>
          <w:tcPr>
            <w:tcW w:w="2691" w:type="dxa"/>
            <w:tcBorders/>
            <w:shd w:fill="auto" w:val="clear"/>
          </w:tcPr>
          <w:p>
            <w:pPr>
              <w:pStyle w:val="Normal"/>
              <w:spacing w:lineRule="auto" w:line="240" w:before="0" w:after="0"/>
              <w:rPr/>
            </w:pPr>
            <w:r>
              <w:rPr/>
              <w:t>1600</w:t>
            </w:r>
          </w:p>
        </w:tc>
        <w:tc>
          <w:tcPr>
            <w:tcW w:w="2691" w:type="dxa"/>
            <w:tcBorders/>
            <w:shd w:fill="auto" w:val="clear"/>
          </w:tcPr>
          <w:p>
            <w:pPr>
              <w:pStyle w:val="Normal"/>
              <w:spacing w:lineRule="auto" w:line="240" w:before="0" w:after="0"/>
              <w:rPr/>
            </w:pPr>
            <w:r>
              <w:rPr/>
              <w:t>900</w:t>
            </w:r>
          </w:p>
        </w:tc>
        <w:tc>
          <w:tcPr>
            <w:tcW w:w="2691" w:type="dxa"/>
            <w:tcBorders/>
            <w:shd w:fill="auto" w:val="clear"/>
          </w:tcPr>
          <w:p>
            <w:pPr>
              <w:pStyle w:val="Normal"/>
              <w:spacing w:lineRule="auto" w:line="240" w:before="0" w:after="0"/>
              <w:rPr/>
            </w:pPr>
            <w:r>
              <w:rPr/>
              <w:t>400</w:t>
            </w:r>
          </w:p>
        </w:tc>
      </w:tr>
      <w:tr>
        <w:trPr/>
        <w:tc>
          <w:tcPr>
            <w:tcW w:w="2690" w:type="dxa"/>
            <w:tcBorders/>
            <w:shd w:fill="auto" w:val="clear"/>
          </w:tcPr>
          <w:p>
            <w:pPr>
              <w:pStyle w:val="Normal"/>
              <w:spacing w:lineRule="auto" w:line="240" w:before="0" w:after="0"/>
              <w:rPr/>
            </w:pPr>
            <w:r>
              <w:rPr/>
              <w:t>Переоформление слота на другого человека</w:t>
            </w:r>
          </w:p>
        </w:tc>
        <w:tc>
          <w:tcPr>
            <w:tcW w:w="2691" w:type="dxa"/>
            <w:tcBorders/>
            <w:shd w:fill="auto" w:val="clear"/>
          </w:tcPr>
          <w:p>
            <w:pPr>
              <w:pStyle w:val="Normal"/>
              <w:spacing w:lineRule="auto" w:line="240" w:before="0" w:after="0"/>
              <w:rPr/>
            </w:pPr>
            <w:r>
              <w:rPr/>
              <w:t>500</w:t>
            </w:r>
          </w:p>
        </w:tc>
        <w:tc>
          <w:tcPr>
            <w:tcW w:w="2691" w:type="dxa"/>
            <w:tcBorders/>
            <w:shd w:fill="auto" w:val="clear"/>
          </w:tcPr>
          <w:p>
            <w:pPr>
              <w:pStyle w:val="Normal"/>
              <w:spacing w:lineRule="auto" w:line="240" w:before="0" w:after="0"/>
              <w:rPr/>
            </w:pPr>
            <w:r>
              <w:rPr/>
              <w:t>500/1000 на участника этой/ /другой ценовой категории</w:t>
            </w:r>
          </w:p>
        </w:tc>
        <w:tc>
          <w:tcPr>
            <w:tcW w:w="2691" w:type="dxa"/>
            <w:tcBorders/>
            <w:shd w:fill="auto" w:val="clear"/>
          </w:tcPr>
          <w:p>
            <w:pPr>
              <w:pStyle w:val="Normal"/>
              <w:spacing w:lineRule="auto" w:line="240" w:before="0" w:after="0"/>
              <w:rPr/>
            </w:pPr>
            <w:r>
              <w:rPr/>
              <w:t>Не производится</w:t>
            </w:r>
          </w:p>
        </w:tc>
      </w:tr>
    </w:tbl>
    <w:p>
      <w:pPr>
        <w:pStyle w:val="Normal"/>
        <w:spacing w:before="0" w:after="0"/>
        <w:rPr/>
      </w:pPr>
      <w:r>
        <w:rPr/>
      </w:r>
    </w:p>
    <w:p>
      <w:pPr>
        <w:pStyle w:val="Normal"/>
        <w:spacing w:before="0" w:after="0"/>
        <w:jc w:val="both"/>
        <w:rPr/>
      </w:pPr>
      <w:r>
        <w:rPr/>
        <w:t xml:space="preserve">Слот является личным и не может быть передан без процедуры переоформления другому участнику. Если обладатель слота не принимает участие в мероприятии по любой причине, он вправе прислать вместо себя на место старта другого участника, на кого будет переоформлен слот.  </w:t>
      </w:r>
    </w:p>
    <w:p>
      <w:pPr>
        <w:pStyle w:val="Normal"/>
        <w:ind w:firstLine="284"/>
        <w:jc w:val="both"/>
        <w:rPr/>
      </w:pPr>
      <w:r>
        <w:rPr/>
        <w:t xml:space="preserve">Участникам с оплаченными слотами гарантированы бесплатные перезаявки в любом количестве без изменения персональных данных. </w:t>
      </w:r>
    </w:p>
    <w:p>
      <w:pPr>
        <w:pStyle w:val="Normal"/>
        <w:ind w:firstLine="284"/>
        <w:rPr/>
      </w:pPr>
      <w:r>
        <w:rPr/>
        <w:t xml:space="preserve">5.4 Все скидки, известные компьютеру, прописываются заранее и считаются компьютером при выставлении счёта автоматически. Компьютеру не известны скидки по прописке, а также другим неочевидным факторам. Порядок предоставления таких скидок определяется документами конкретного этапа. </w:t>
      </w:r>
    </w:p>
    <w:p>
      <w:pPr>
        <w:pStyle w:val="Normal"/>
        <w:ind w:firstLine="284"/>
        <w:rPr/>
      </w:pPr>
      <w:r>
        <w:rPr/>
        <w:t xml:space="preserve">5.5 Действие ВСЕХ скидок, кроме скидок по возрасту, не распространяется при заявке на месте старта. </w:t>
      </w:r>
    </w:p>
    <w:p>
      <w:pPr>
        <w:pStyle w:val="Normal"/>
        <w:spacing w:before="0" w:after="0"/>
        <w:ind w:firstLine="284"/>
        <w:rPr/>
      </w:pPr>
      <w:r>
        <w:rPr/>
        <w:t xml:space="preserve">5.6 Уплаченные стартовые взносы возврату подлежат в полном объёме только в двух исключительных случаях: </w:t>
      </w:r>
    </w:p>
    <w:p>
      <w:pPr>
        <w:pStyle w:val="Normal"/>
        <w:spacing w:before="0" w:after="0"/>
        <w:ind w:firstLine="284"/>
        <w:rPr/>
      </w:pPr>
      <w:r>
        <w:rPr/>
        <w:t xml:space="preserve">- отмены мероприятия из-за воли или халатности организатора. Под халатностью подразумевается возникновение обстоятельств, которые были очевидны с вероятностью 50% и более на момент открытия заявки на этап, приведшие к отмене мероприятия; </w:t>
      </w:r>
    </w:p>
    <w:p>
      <w:pPr>
        <w:pStyle w:val="Normal"/>
        <w:spacing w:before="0" w:after="0"/>
        <w:ind w:firstLine="284"/>
        <w:rPr/>
      </w:pPr>
      <w:r>
        <w:rPr/>
        <w:t xml:space="preserve">- если участник заявился в группу со способом передвижения на роликах (малых колёсах), приехал на место старта и за час до старта почти 100% асфальта мокрые, при этом, участник отказывается перезаявляться и участвовать. </w:t>
      </w:r>
    </w:p>
    <w:p>
      <w:pPr>
        <w:pStyle w:val="Normal"/>
        <w:ind w:firstLine="284"/>
        <w:rPr/>
      </w:pPr>
      <w:r>
        <w:rPr/>
        <w:t xml:space="preserve">Во всех иных случаях частичный или полный возврат уплаченного стартового взноса не производится. </w:t>
      </w:r>
    </w:p>
    <w:p>
      <w:pPr>
        <w:pStyle w:val="Normal"/>
        <w:ind w:firstLine="284"/>
        <w:rPr/>
      </w:pPr>
      <w:r>
        <w:rPr/>
        <w:t xml:space="preserve">5.7 Участники, оплатившие стартовые взносы, но не принявшие участие в этапе, вправе получить оплаченный стартовый пакет, аналогичный тому, что ожидал их в Шведском секретариате (кроме контрольного браслета и чипа). Для этого они должны сообщить о своём желании, направив письмо в трёхдневный срок с даты финиша этапа на почту info@mosplay.ru c указанием своей фамилии и имени, а также того, что именно они хотят получить (только карту или весь пакет) и то, куда это привезти. Возможные варианты привоза – любое мероприятие «Маршрута», анонсированное до даты следующего этапа кубка или ближайший этап, проводимый на территории Москвы и Подмосковья. </w:t>
      </w:r>
    </w:p>
    <w:p>
      <w:pPr>
        <w:pStyle w:val="Normal"/>
        <w:ind w:firstLine="284"/>
        <w:rPr/>
      </w:pPr>
      <w:r>
        <w:rPr/>
        <w:t xml:space="preserve">5.8 С момента открытия продаж до 31 декабря 2018 года или до момента продажи всех абонементов участники могут приобрести право (абонемент) на участие во всех рогейнах кубка «Золотой Маршрут» 2019 без каких-либо доплат (кроме доплат за дополнительные услуги по выбору участников). Участникам, купившим абонемент на все старты или получившим право бесплатного участия по любой другой причине на любое количество стартов или любой отдельный старт можно будет заявиться не зависимо от наличия свободных мест в любой день, когда открыта предварительная регистрация без доплат, но нельзя перезаявлять вместо себя кого-либо другого. Если обладатель абонемента не успел заявиться по причине окончания сроков предварительной заявки согласно пункту 5.12, то он теряет право бесплатного участия на этапе. Если он не успел заявиться по причине исчерпания лимита заявок, то необходимо направить заявку по электронной почте </w:t>
      </w:r>
      <w:hyperlink r:id="rId2">
        <w:r>
          <w:rPr>
            <w:rStyle w:val="Style10"/>
            <w:lang w:val="en-US"/>
          </w:rPr>
          <w:t>info</w:t>
        </w:r>
        <w:r>
          <w:rPr>
            <w:rStyle w:val="Style10"/>
          </w:rPr>
          <w:t>@</w:t>
        </w:r>
        <w:r>
          <w:rPr>
            <w:rStyle w:val="Style10"/>
            <w:lang w:val="en-US"/>
          </w:rPr>
          <w:t>mosplay</w:t>
        </w:r>
        <w:r>
          <w:rPr>
            <w:rStyle w:val="Style10"/>
          </w:rPr>
          <w:t>.</w:t>
        </w:r>
        <w:r>
          <w:rPr>
            <w:rStyle w:val="Style10"/>
            <w:lang w:val="en-US"/>
          </w:rPr>
          <w:t>ru</w:t>
        </w:r>
      </w:hyperlink>
      <w:r>
        <w:rPr/>
        <w:t xml:space="preserve"> и она будет засчитана без доплат.</w:t>
      </w:r>
    </w:p>
    <w:tbl>
      <w:tblPr>
        <w:tblStyle w:val="a5"/>
        <w:tblW w:w="10729" w:type="dxa"/>
        <w:jc w:val="left"/>
        <w:tblInd w:w="0" w:type="dxa"/>
        <w:tblCellMar>
          <w:top w:w="0" w:type="dxa"/>
          <w:left w:w="108" w:type="dxa"/>
          <w:bottom w:w="0" w:type="dxa"/>
          <w:right w:w="108" w:type="dxa"/>
        </w:tblCellMar>
        <w:tblLook w:firstRow="1" w:noVBand="1" w:lastRow="0" w:firstColumn="1" w:lastColumn="0" w:noHBand="0" w:val="04a0"/>
      </w:tblPr>
      <w:tblGrid>
        <w:gridCol w:w="3964"/>
        <w:gridCol w:w="3260"/>
        <w:gridCol w:w="3505"/>
      </w:tblGrid>
      <w:tr>
        <w:trPr/>
        <w:tc>
          <w:tcPr>
            <w:tcW w:w="10729" w:type="dxa"/>
            <w:gridSpan w:val="3"/>
            <w:tcBorders/>
            <w:shd w:fill="auto" w:val="clear"/>
          </w:tcPr>
          <w:p>
            <w:pPr>
              <w:pStyle w:val="Normal"/>
              <w:spacing w:lineRule="auto" w:line="240" w:before="0" w:after="0"/>
              <w:jc w:val="center"/>
              <w:rPr/>
            </w:pPr>
            <w:r>
              <w:rPr/>
              <w:t>Стоимость абонементов на все этапы кубка «Золотой Маршрут» 2018</w:t>
            </w:r>
          </w:p>
        </w:tc>
      </w:tr>
      <w:tr>
        <w:trPr/>
        <w:tc>
          <w:tcPr>
            <w:tcW w:w="3964" w:type="dxa"/>
            <w:tcBorders/>
            <w:shd w:fill="auto" w:val="clear"/>
          </w:tcPr>
          <w:p>
            <w:pPr>
              <w:pStyle w:val="Normal"/>
              <w:spacing w:lineRule="auto" w:line="240" w:before="0" w:after="0"/>
              <w:rPr/>
            </w:pPr>
            <w:r>
              <w:rPr/>
            </w:r>
          </w:p>
        </w:tc>
        <w:tc>
          <w:tcPr>
            <w:tcW w:w="3260" w:type="dxa"/>
            <w:tcBorders/>
            <w:shd w:fill="auto" w:val="clear"/>
          </w:tcPr>
          <w:p>
            <w:pPr>
              <w:pStyle w:val="Normal"/>
              <w:spacing w:lineRule="auto" w:line="240" w:before="0" w:after="0"/>
              <w:rPr/>
            </w:pPr>
            <w:r>
              <w:rPr/>
              <w:t>Первые 20 абонементов, либо покупка в ноябре</w:t>
            </w:r>
          </w:p>
        </w:tc>
        <w:tc>
          <w:tcPr>
            <w:tcW w:w="3505" w:type="dxa"/>
            <w:tcBorders/>
            <w:shd w:fill="auto" w:val="clear"/>
          </w:tcPr>
          <w:p>
            <w:pPr>
              <w:pStyle w:val="Normal"/>
              <w:spacing w:lineRule="auto" w:line="240" w:before="0" w:after="0"/>
              <w:rPr/>
            </w:pPr>
            <w:r>
              <w:rPr/>
              <w:t>С 21 по 50й абонемент, либо покупка  до 31 декабря</w:t>
            </w:r>
          </w:p>
          <w:p>
            <w:pPr>
              <w:pStyle w:val="Normal"/>
              <w:spacing w:lineRule="auto" w:line="240" w:before="0" w:after="0"/>
              <w:rPr/>
            </w:pPr>
            <w:r>
              <w:rPr/>
            </w:r>
          </w:p>
        </w:tc>
      </w:tr>
      <w:tr>
        <w:trPr/>
        <w:tc>
          <w:tcPr>
            <w:tcW w:w="3964" w:type="dxa"/>
            <w:tcBorders/>
            <w:shd w:fill="auto" w:val="clear"/>
          </w:tcPr>
          <w:p>
            <w:pPr>
              <w:pStyle w:val="Normal"/>
              <w:spacing w:lineRule="auto" w:line="240" w:before="0" w:after="0"/>
              <w:rPr/>
            </w:pPr>
            <w:r>
              <w:rPr/>
              <w:t>Год рождения участника 1965-1998</w:t>
            </w:r>
          </w:p>
        </w:tc>
        <w:tc>
          <w:tcPr>
            <w:tcW w:w="3260" w:type="dxa"/>
            <w:tcBorders/>
            <w:shd w:fill="auto" w:val="clear"/>
          </w:tcPr>
          <w:p>
            <w:pPr>
              <w:pStyle w:val="Normal"/>
              <w:spacing w:lineRule="auto" w:line="240" w:before="0" w:after="0"/>
              <w:jc w:val="center"/>
              <w:rPr>
                <w:sz w:val="32"/>
              </w:rPr>
            </w:pPr>
            <w:r>
              <w:rPr>
                <w:sz w:val="32"/>
              </w:rPr>
              <w:t>6000</w:t>
            </w:r>
          </w:p>
        </w:tc>
        <w:tc>
          <w:tcPr>
            <w:tcW w:w="3505" w:type="dxa"/>
            <w:tcBorders/>
            <w:shd w:fill="auto" w:val="clear"/>
          </w:tcPr>
          <w:p>
            <w:pPr>
              <w:pStyle w:val="Normal"/>
              <w:spacing w:lineRule="auto" w:line="240" w:before="0" w:after="0"/>
              <w:jc w:val="center"/>
              <w:rPr>
                <w:sz w:val="32"/>
              </w:rPr>
            </w:pPr>
            <w:r>
              <w:rPr>
                <w:sz w:val="32"/>
              </w:rPr>
              <w:t>9900</w:t>
            </w:r>
          </w:p>
        </w:tc>
      </w:tr>
      <w:tr>
        <w:trPr/>
        <w:tc>
          <w:tcPr>
            <w:tcW w:w="3964" w:type="dxa"/>
            <w:tcBorders/>
            <w:shd w:fill="auto" w:val="clear"/>
          </w:tcPr>
          <w:p>
            <w:pPr>
              <w:pStyle w:val="Normal"/>
              <w:spacing w:lineRule="auto" w:line="240" w:before="0" w:after="0"/>
              <w:rPr/>
            </w:pPr>
            <w:r>
              <w:rPr/>
              <w:t>Год рождения участники 1964 и более ранний, 1999 и более поздний</w:t>
            </w:r>
          </w:p>
        </w:tc>
        <w:tc>
          <w:tcPr>
            <w:tcW w:w="3260" w:type="dxa"/>
            <w:tcBorders/>
            <w:shd w:fill="auto" w:val="clear"/>
          </w:tcPr>
          <w:p>
            <w:pPr>
              <w:pStyle w:val="Normal"/>
              <w:spacing w:lineRule="auto" w:line="240" w:before="0" w:after="0"/>
              <w:jc w:val="center"/>
              <w:rPr>
                <w:sz w:val="32"/>
              </w:rPr>
            </w:pPr>
            <w:r>
              <w:rPr>
                <w:sz w:val="32"/>
              </w:rPr>
              <w:t>3000</w:t>
            </w:r>
          </w:p>
        </w:tc>
        <w:tc>
          <w:tcPr>
            <w:tcW w:w="3505" w:type="dxa"/>
            <w:tcBorders/>
            <w:shd w:fill="auto" w:val="clear"/>
          </w:tcPr>
          <w:p>
            <w:pPr>
              <w:pStyle w:val="Normal"/>
              <w:spacing w:lineRule="auto" w:line="240" w:before="0" w:after="0"/>
              <w:jc w:val="center"/>
              <w:rPr>
                <w:sz w:val="32"/>
              </w:rPr>
            </w:pPr>
            <w:r>
              <w:rPr>
                <w:sz w:val="32"/>
              </w:rPr>
              <w:t>4900</w:t>
            </w:r>
          </w:p>
        </w:tc>
      </w:tr>
      <w:tr>
        <w:trPr/>
        <w:tc>
          <w:tcPr>
            <w:tcW w:w="10729" w:type="dxa"/>
            <w:gridSpan w:val="3"/>
            <w:tcBorders/>
            <w:shd w:fill="auto" w:val="clear"/>
          </w:tcPr>
          <w:p>
            <w:pPr>
              <w:pStyle w:val="Normal"/>
              <w:spacing w:lineRule="auto" w:line="240" w:before="0" w:after="0"/>
              <w:rPr/>
            </w:pPr>
            <w:r>
              <w:rPr/>
              <w:t>*В расчёт берётся общее количество проданных абонементов всех ценовых категорий. В число этих абонементов не входят абонементы, купленные любым другим способом, кроме оплаченных через официальную систему заявки.</w:t>
            </w:r>
          </w:p>
        </w:tc>
      </w:tr>
    </w:tbl>
    <w:p>
      <w:pPr>
        <w:pStyle w:val="Normal"/>
        <w:rPr/>
      </w:pPr>
      <w:r>
        <w:rPr/>
        <w:t>Абонемент – это один личный промо-код, выданный участникам на все старты кубка. При использовании личного промо-кода участника, купившего абонемент участником, не купившим абонемент по любой причине, промо-код аннулируется, уплаченные средства не возвращаются.</w:t>
      </w:r>
    </w:p>
    <w:p>
      <w:pPr>
        <w:pStyle w:val="Normal"/>
        <w:rPr/>
      </w:pPr>
      <w:r>
        <w:rPr/>
        <w:t xml:space="preserve">5.9 Все призы и наградная атрибутика за этап и за Кубок вручаются ТОЛЬКО лично или иным способом, но по предварительной договорённости с главным судьёй этапа. Не выход на награждение означает безоговорочное согласие на неполучение приза. </w:t>
      </w:r>
    </w:p>
    <w:p>
      <w:pPr>
        <w:pStyle w:val="Normal"/>
        <w:rPr/>
      </w:pPr>
      <w:r>
        <w:rPr/>
        <w:t xml:space="preserve">5.10 Неполученная наградная атрибутика за этап хранится до начала следующего этапа и будет привезена на него при письменной договорённости между участниками и организаторами. Для этого не позднее, чем за 3 дня до дня старта следующего этапа необходимо сообщить о своём желании на почту info@mosplay.ru. Не востребованная в указанный срок наградная атрибутика уничтожается. </w:t>
      </w:r>
    </w:p>
    <w:p>
      <w:pPr>
        <w:pStyle w:val="Normal"/>
        <w:rPr/>
      </w:pPr>
      <w:r>
        <w:rPr/>
        <w:t xml:space="preserve">5.11 В случае задержки награждения за этап более, чем на 30 минут от времени, объявленного в программе мероприятия – призы и наградную атрибутику победителям и их представителям можно будет получить также на следующем этапе, главным организатором которого является «Маршрут-GROUP» без предварительного уведомления. </w:t>
      </w:r>
    </w:p>
    <w:p>
      <w:pPr>
        <w:pStyle w:val="Normal"/>
        <w:rPr/>
      </w:pPr>
      <w:r>
        <w:rPr/>
        <w:t>5.12 Срок предварительной заявки и оплаты участия в рогейнах не может заканчиваться раньше, чем за три полных дня до дня старта этапа, кроме случаев, когда на мероприятие выбран весь лимит заявок. То есть, если старт в субботу, срок заявки по вторник включительно, если в воскресенье – по среду включительно. Но если на рогейн лимит участников уже выбран, заявка закрывается по достижению лимита досрочно, и далее можно будет заявиться только на месте старта.</w:t>
      </w:r>
    </w:p>
    <w:p>
      <w:pPr>
        <w:pStyle w:val="Normal"/>
        <w:rPr/>
      </w:pPr>
      <w:r>
        <w:rPr/>
        <w:t xml:space="preserve">5.13 На всех рогейнах предусмотрена также заявка и оплата участия на месте старта по соответствующим ценам. Если участнику, заявившемуся и оплатившему участие, по любой причине не хватает карты, он допускается на старт бесплатно, деньги возвращаются в полном объёме, при этом, на следующем этапе при его желании ему будет предоставлена новая карта прежнего этапа также бесплатно. </w:t>
      </w:r>
    </w:p>
    <w:p>
      <w:pPr>
        <w:pStyle w:val="4"/>
        <w:rPr/>
      </w:pPr>
      <w:bookmarkStart w:id="6" w:name="_Toc500483169"/>
      <w:r>
        <w:rPr/>
        <w:t>6. Юридические моменты.</w:t>
      </w:r>
      <w:bookmarkEnd w:id="6"/>
      <w:r>
        <w:rPr/>
        <w:t xml:space="preserve"> </w:t>
      </w:r>
    </w:p>
    <w:p>
      <w:pPr>
        <w:pStyle w:val="Normal"/>
        <w:rPr/>
      </w:pPr>
      <w:r>
        <w:rPr/>
        <w:t xml:space="preserve">6.1 Основания возникновения правовых отношений между Участником и Организатором описаны в гражданско-правовом договоре Публичной оферты, который публикуется на сайте http://mosplay.ru и/или на официальной страничке этапа. Заявка и/или участие в Кубке и/или отдельных его этапах означает полный и безоговорочный акцепт (принятие) данного договора. Мероприятие является соревновательным, то есть - гражданским, не является спортивным, действие на него Ф.З. «О спорте…» и сопутствующих законов и подзаконных актов не распространяется. </w:t>
      </w:r>
    </w:p>
    <w:p>
      <w:pPr>
        <w:pStyle w:val="Normal"/>
        <w:rPr/>
      </w:pPr>
      <w:r>
        <w:rPr/>
        <w:t xml:space="preserve">6.2 Правила поведения Участника в центре мероприятия, до старта и после финиша, а также при прохождении дистанции регулируется Правилами проведения соревнований по рогейну, а также иными документами, указанными в пункте 1.2, законами России и нижестоящими нормативными документами. </w:t>
      </w:r>
    </w:p>
    <w:p>
      <w:pPr>
        <w:pStyle w:val="Normal"/>
        <w:rPr/>
      </w:pPr>
      <w:r>
        <w:rPr/>
        <w:t xml:space="preserve">6.3 Информация о найденных забытых вещах размещается в социальных сетях группы Вконтакте. Забытые и бесхозные вещи, не востребованные у организаторов до дня, предшествующего началу следующего этапа, главным организатором которого является </w:t>
      </w:r>
      <w:r>
        <w:rPr>
          <w:lang w:val="en-US"/>
        </w:rPr>
        <w:t>Event</w:t>
      </w:r>
      <w:r>
        <w:rPr/>
        <w:t xml:space="preserve">-агентство «Маршрут», отправляются в утиль. </w:t>
      </w:r>
    </w:p>
    <w:p>
      <w:pPr>
        <w:pStyle w:val="Normal"/>
        <w:rPr/>
      </w:pPr>
      <w:r>
        <w:rPr/>
        <w:t>6.4 Участвуя в кубке и его этапах, участники дают согласие на то, что их персональные данные, фото и видео изображения могут собираться, обрабатываться организаторами и использоваться без дополнительного согласия участников и взимания с организаторов какой-либо оплаты в целях информирования, продвижения, рекламирования, оформления мероприятий по рогейну и других активностей организаторов кубка «Золотой Маршрут».</w:t>
      </w:r>
    </w:p>
    <w:p>
      <w:pPr>
        <w:pStyle w:val="4"/>
        <w:rPr/>
      </w:pPr>
      <w:bookmarkStart w:id="7" w:name="_Toc500483170"/>
      <w:r>
        <w:rPr/>
        <w:t>7. Социальная ответственность.</w:t>
      </w:r>
      <w:bookmarkEnd w:id="7"/>
      <w:r>
        <w:rPr/>
        <w:t xml:space="preserve"> </w:t>
      </w:r>
    </w:p>
    <w:p>
      <w:pPr>
        <w:pStyle w:val="Normal"/>
        <w:rPr/>
      </w:pPr>
      <w:r>
        <w:rPr/>
        <w:t xml:space="preserve">7.1 В связи с тем, что одна из целей Кубка – развитие и совершенствование мероприятий по рогейну, организаторы стремятся сделать участие в рогейнах Кубка более доступными. Если любой спортсмен желает участвовать в этапе, но не имеет возможности или желания оплачивать стартовый взнос по любой причине, спортсмен вправе обратиться к главному судье (организаторам) и сообщить об этом. Спортсмену будет гарантировано бесплатное участие в обмен на помощь в организации мероприятия, например, снять часть КП, помочь с приготовлением пищи, кормлением. Фактически, количество КП, необходимое для снятия ради бесплатного участия – не менее десяти. </w:t>
      </w:r>
    </w:p>
    <w:p>
      <w:pPr>
        <w:pStyle w:val="Normal"/>
        <w:rPr/>
      </w:pPr>
      <w:r>
        <w:rPr/>
        <w:t>7.2 Данный документ является офертой и официальным приглашением на мероприятия кубка «Золотой Маршрут»!</w:t>
      </w:r>
    </w:p>
    <w:p>
      <w:pPr>
        <w:pStyle w:val="Normal"/>
        <w:jc w:val="center"/>
        <w:rPr>
          <w:b/>
          <w:b/>
          <w:sz w:val="28"/>
        </w:rPr>
      </w:pPr>
      <w:r>
        <w:rPr>
          <w:b/>
          <w:sz w:val="28"/>
        </w:rPr>
        <w:t>Приложение №1 – календарь кубка «Золотой Маршрут» на 2019 год</w:t>
      </w:r>
    </w:p>
    <w:tbl>
      <w:tblPr>
        <w:tblStyle w:val="a5"/>
        <w:tblW w:w="10763" w:type="dxa"/>
        <w:jc w:val="left"/>
        <w:tblInd w:w="0" w:type="dxa"/>
        <w:tblCellMar>
          <w:top w:w="0" w:type="dxa"/>
          <w:left w:w="108" w:type="dxa"/>
          <w:bottom w:w="0" w:type="dxa"/>
          <w:right w:w="108" w:type="dxa"/>
        </w:tblCellMar>
        <w:tblLook w:firstRow="1" w:noVBand="1" w:lastRow="0" w:firstColumn="1" w:lastColumn="0" w:noHBand="0" w:val="04a0"/>
      </w:tblPr>
      <w:tblGrid>
        <w:gridCol w:w="483"/>
        <w:gridCol w:w="1948"/>
        <w:gridCol w:w="1263"/>
        <w:gridCol w:w="1993"/>
        <w:gridCol w:w="2471"/>
        <w:gridCol w:w="2604"/>
      </w:tblGrid>
      <w:tr>
        <w:trPr/>
        <w:tc>
          <w:tcPr>
            <w:tcW w:w="483" w:type="dxa"/>
            <w:tcBorders/>
            <w:shd w:fill="auto" w:val="clear"/>
          </w:tcPr>
          <w:p>
            <w:pPr>
              <w:pStyle w:val="Normal"/>
              <w:spacing w:lineRule="auto" w:line="240" w:before="0" w:after="0"/>
              <w:jc w:val="center"/>
              <w:rPr>
                <w:b/>
                <w:b/>
              </w:rPr>
            </w:pPr>
            <w:r>
              <w:rPr>
                <w:b/>
              </w:rPr>
              <w:t>№</w:t>
            </w:r>
          </w:p>
        </w:tc>
        <w:tc>
          <w:tcPr>
            <w:tcW w:w="1948" w:type="dxa"/>
            <w:tcBorders/>
            <w:shd w:fill="auto" w:val="clear"/>
          </w:tcPr>
          <w:p>
            <w:pPr>
              <w:pStyle w:val="Normal"/>
              <w:spacing w:lineRule="auto" w:line="240" w:before="0" w:after="0"/>
              <w:jc w:val="center"/>
              <w:rPr>
                <w:b/>
                <w:b/>
              </w:rPr>
            </w:pPr>
            <w:r>
              <w:rPr>
                <w:b/>
              </w:rPr>
              <w:t>Название этапа</w:t>
            </w:r>
          </w:p>
        </w:tc>
        <w:tc>
          <w:tcPr>
            <w:tcW w:w="1263" w:type="dxa"/>
            <w:tcBorders/>
            <w:shd w:fill="auto" w:val="clear"/>
          </w:tcPr>
          <w:p>
            <w:pPr>
              <w:pStyle w:val="Normal"/>
              <w:spacing w:lineRule="auto" w:line="240" w:before="0" w:after="0"/>
              <w:jc w:val="center"/>
              <w:rPr>
                <w:b/>
                <w:b/>
              </w:rPr>
            </w:pPr>
            <w:r>
              <w:rPr>
                <w:b/>
              </w:rPr>
              <w:t>Дата</w:t>
            </w:r>
          </w:p>
        </w:tc>
        <w:tc>
          <w:tcPr>
            <w:tcW w:w="1993" w:type="dxa"/>
            <w:tcBorders/>
            <w:shd w:fill="auto" w:val="clear"/>
          </w:tcPr>
          <w:p>
            <w:pPr>
              <w:pStyle w:val="Normal"/>
              <w:spacing w:lineRule="auto" w:line="240" w:before="0" w:after="0"/>
              <w:jc w:val="center"/>
              <w:rPr>
                <w:b/>
                <w:b/>
              </w:rPr>
            </w:pPr>
            <w:r>
              <w:rPr>
                <w:b/>
              </w:rPr>
              <w:t>Форматы (в часах)</w:t>
            </w:r>
          </w:p>
        </w:tc>
        <w:tc>
          <w:tcPr>
            <w:tcW w:w="2471" w:type="dxa"/>
            <w:tcBorders/>
            <w:shd w:fill="auto" w:val="clear"/>
          </w:tcPr>
          <w:p>
            <w:pPr>
              <w:pStyle w:val="Normal"/>
              <w:spacing w:lineRule="auto" w:line="240" w:before="0" w:after="0"/>
              <w:jc w:val="center"/>
              <w:rPr>
                <w:b/>
                <w:b/>
              </w:rPr>
            </w:pPr>
            <w:r>
              <w:rPr>
                <w:b/>
              </w:rPr>
              <w:t>Место</w:t>
            </w:r>
          </w:p>
        </w:tc>
        <w:tc>
          <w:tcPr>
            <w:tcW w:w="2604" w:type="dxa"/>
            <w:tcBorders/>
            <w:shd w:fill="auto" w:val="clear"/>
          </w:tcPr>
          <w:p>
            <w:pPr>
              <w:pStyle w:val="Normal"/>
              <w:spacing w:lineRule="auto" w:line="240" w:before="0" w:after="0"/>
              <w:jc w:val="center"/>
              <w:rPr>
                <w:b/>
                <w:b/>
              </w:rPr>
            </w:pPr>
            <w:r>
              <w:rPr>
                <w:b/>
              </w:rPr>
              <w:t>Сервисы</w:t>
            </w:r>
          </w:p>
        </w:tc>
      </w:tr>
      <w:tr>
        <w:trPr/>
        <w:tc>
          <w:tcPr>
            <w:tcW w:w="48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1</w:t>
            </w:r>
          </w:p>
        </w:tc>
        <w:tc>
          <w:tcPr>
            <w:tcW w:w="1948"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highlight w:val="green"/>
              </w:rPr>
              <w:t>Зимний Рогейн</w:t>
            </w:r>
          </w:p>
        </w:tc>
        <w:tc>
          <w:tcPr>
            <w:tcW w:w="126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Сб 19 января</w:t>
            </w:r>
          </w:p>
        </w:tc>
        <w:tc>
          <w:tcPr>
            <w:tcW w:w="199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2 и 6 на лыжах, 3 бегом</w:t>
            </w:r>
          </w:p>
        </w:tc>
        <w:tc>
          <w:tcPr>
            <w:tcW w:w="2471"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Г.О. Истра, ст. Снегири</w:t>
            </w:r>
          </w:p>
        </w:tc>
        <w:tc>
          <w:tcPr>
            <w:tcW w:w="2604"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Тёплое размещение, подготовка трассы снегоходом, лыжная специальная сетка</w:t>
            </w:r>
          </w:p>
        </w:tc>
      </w:tr>
      <w:tr>
        <w:trPr/>
        <w:tc>
          <w:tcPr>
            <w:tcW w:w="48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2</w:t>
            </w:r>
          </w:p>
        </w:tc>
        <w:tc>
          <w:tcPr>
            <w:tcW w:w="1948"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Ранняя Весна</w:t>
            </w:r>
          </w:p>
        </w:tc>
        <w:tc>
          <w:tcPr>
            <w:tcW w:w="126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Вс., 3 марта</w:t>
            </w:r>
          </w:p>
        </w:tc>
        <w:tc>
          <w:tcPr>
            <w:tcW w:w="199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2 и 5 бегом, 2 и 5 верхом (лыжи или вело)</w:t>
            </w:r>
          </w:p>
        </w:tc>
        <w:tc>
          <w:tcPr>
            <w:tcW w:w="2471"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Г. Москва, парк Лосиный остров</w:t>
            </w:r>
          </w:p>
        </w:tc>
        <w:tc>
          <w:tcPr>
            <w:tcW w:w="2604" w:type="dxa"/>
            <w:tcBorders/>
            <w:shd w:fill="auto" w:val="clear"/>
          </w:tcPr>
          <w:p>
            <w:pPr>
              <w:pStyle w:val="Normal"/>
              <w:spacing w:lineRule="auto" w:line="240" w:before="0" w:after="0"/>
              <w:ind w:left="-49" w:right="-107" w:hanging="0"/>
              <w:jc w:val="center"/>
              <w:rPr>
                <w:rFonts w:ascii="Cambria" w:hAnsi="Cambria"/>
                <w:sz w:val="24"/>
                <w:szCs w:val="24"/>
              </w:rPr>
            </w:pPr>
            <w:r>
              <w:rPr>
                <w:rFonts w:ascii="Cambria" w:hAnsi="Cambria"/>
                <w:sz w:val="24"/>
                <w:szCs w:val="24"/>
              </w:rPr>
              <w:t xml:space="preserve">Тёплое размещение в помещении, весенняя битва форматов </w:t>
            </w:r>
          </w:p>
        </w:tc>
      </w:tr>
      <w:tr>
        <w:trPr/>
        <w:tc>
          <w:tcPr>
            <w:tcW w:w="48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3</w:t>
            </w:r>
          </w:p>
        </w:tc>
        <w:tc>
          <w:tcPr>
            <w:tcW w:w="1948" w:type="dxa"/>
            <w:tcBorders/>
            <w:shd w:fill="auto" w:val="clear"/>
          </w:tcPr>
          <w:p>
            <w:pPr>
              <w:pStyle w:val="Normal"/>
              <w:spacing w:lineRule="auto" w:line="240" w:before="0" w:after="0"/>
              <w:jc w:val="center"/>
              <w:rPr>
                <w:rFonts w:ascii="Cambria" w:hAnsi="Cambria"/>
                <w:sz w:val="24"/>
                <w:szCs w:val="24"/>
                <w:highlight w:val="yellow"/>
              </w:rPr>
            </w:pPr>
            <w:r>
              <w:rPr>
                <w:rFonts w:ascii="Cambria" w:hAnsi="Cambria"/>
                <w:sz w:val="24"/>
                <w:szCs w:val="24"/>
                <w:highlight w:val="yellow"/>
              </w:rPr>
              <w:t>Центр Европы</w:t>
            </w:r>
          </w:p>
        </w:tc>
        <w:tc>
          <w:tcPr>
            <w:tcW w:w="126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Сб, 23 марта</w:t>
            </w:r>
          </w:p>
        </w:tc>
        <w:tc>
          <w:tcPr>
            <w:tcW w:w="199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3 и 6 бегом, на вело, на малых колёсах</w:t>
            </w:r>
          </w:p>
        </w:tc>
        <w:tc>
          <w:tcPr>
            <w:tcW w:w="2471"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Г. Минск, респ. Беларусь, центр</w:t>
            </w:r>
          </w:p>
        </w:tc>
        <w:tc>
          <w:tcPr>
            <w:tcW w:w="2604"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Городской рогейн, карта размера А2 и крупнее</w:t>
            </w:r>
          </w:p>
        </w:tc>
      </w:tr>
      <w:tr>
        <w:trPr/>
        <w:tc>
          <w:tcPr>
            <w:tcW w:w="48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4</w:t>
            </w:r>
          </w:p>
        </w:tc>
        <w:tc>
          <w:tcPr>
            <w:tcW w:w="1948"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highlight w:val="yellow"/>
              </w:rPr>
              <w:t>Московский День</w:t>
            </w:r>
          </w:p>
        </w:tc>
        <w:tc>
          <w:tcPr>
            <w:tcW w:w="126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Сб., 13 апреля</w:t>
            </w:r>
          </w:p>
        </w:tc>
        <w:tc>
          <w:tcPr>
            <w:tcW w:w="199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3 и 6 бегом, на вело, на малых колёсах</w:t>
            </w:r>
          </w:p>
        </w:tc>
        <w:tc>
          <w:tcPr>
            <w:tcW w:w="2471"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Г. Москва, Запад -Северо-Запад-Север</w:t>
            </w:r>
          </w:p>
        </w:tc>
        <w:tc>
          <w:tcPr>
            <w:tcW w:w="2604"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Городской рогейн, карта размера А2 и крупнее</w:t>
            </w:r>
          </w:p>
        </w:tc>
      </w:tr>
      <w:tr>
        <w:trPr/>
        <w:tc>
          <w:tcPr>
            <w:tcW w:w="483" w:type="dxa"/>
            <w:vMerge w:val="restart"/>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5</w:t>
            </w:r>
          </w:p>
        </w:tc>
        <w:tc>
          <w:tcPr>
            <w:tcW w:w="1948"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Золото Сенежа на суше</w:t>
            </w:r>
          </w:p>
        </w:tc>
        <w:tc>
          <w:tcPr>
            <w:tcW w:w="126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Сб., 25 мая</w:t>
            </w:r>
          </w:p>
        </w:tc>
        <w:tc>
          <w:tcPr>
            <w:tcW w:w="199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3 и 6 на вело, 4 и 8 бегом</w:t>
            </w:r>
          </w:p>
        </w:tc>
        <w:tc>
          <w:tcPr>
            <w:tcW w:w="2471" w:type="dxa"/>
            <w:vMerge w:val="restart"/>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Тверская обл., ж/д ст. Скнятино, берег реки Волнушка (Угличское водохранилище)</w:t>
            </w:r>
          </w:p>
        </w:tc>
        <w:tc>
          <w:tcPr>
            <w:tcW w:w="2604" w:type="dxa"/>
            <w:vMerge w:val="restart"/>
            <w:tcBorders/>
            <w:shd w:fill="auto" w:val="clear"/>
          </w:tcPr>
          <w:p>
            <w:pPr>
              <w:pStyle w:val="Normal"/>
              <w:spacing w:lineRule="auto" w:line="240" w:before="0" w:after="0"/>
              <w:ind w:left="-49" w:right="-107" w:hanging="0"/>
              <w:jc w:val="center"/>
              <w:rPr>
                <w:rFonts w:ascii="Cambria" w:hAnsi="Cambria"/>
                <w:sz w:val="24"/>
                <w:szCs w:val="24"/>
              </w:rPr>
            </w:pPr>
            <w:r>
              <w:rPr>
                <w:rFonts w:ascii="Cambria" w:hAnsi="Cambria"/>
                <w:sz w:val="24"/>
                <w:szCs w:val="24"/>
              </w:rPr>
              <w:t>Возможность доехать удобным поездом дальнего следования, аренда байдарок, бесплатное питание на фестивале, дет. сад, веломойка,  горячий душ, развл. программа</w:t>
            </w:r>
          </w:p>
        </w:tc>
      </w:tr>
      <w:tr>
        <w:trPr/>
        <w:tc>
          <w:tcPr>
            <w:tcW w:w="483" w:type="dxa"/>
            <w:vMerge w:val="continue"/>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r>
          </w:p>
        </w:tc>
        <w:tc>
          <w:tcPr>
            <w:tcW w:w="1948"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Золото Сенежа на воде</w:t>
            </w:r>
          </w:p>
        </w:tc>
        <w:tc>
          <w:tcPr>
            <w:tcW w:w="126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Вс., 26 мая</w:t>
            </w:r>
          </w:p>
        </w:tc>
        <w:tc>
          <w:tcPr>
            <w:tcW w:w="199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4 и 8 на плавсредствах</w:t>
            </w:r>
          </w:p>
        </w:tc>
        <w:tc>
          <w:tcPr>
            <w:tcW w:w="2471" w:type="dxa"/>
            <w:vMerge w:val="continue"/>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r>
          </w:p>
        </w:tc>
        <w:tc>
          <w:tcPr>
            <w:tcW w:w="2604" w:type="dxa"/>
            <w:vMerge w:val="continue"/>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r>
          </w:p>
        </w:tc>
      </w:tr>
      <w:tr>
        <w:trPr/>
        <w:tc>
          <w:tcPr>
            <w:tcW w:w="48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6</w:t>
            </w:r>
          </w:p>
        </w:tc>
        <w:tc>
          <w:tcPr>
            <w:tcW w:w="1948"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highlight w:val="yellow"/>
              </w:rPr>
              <w:t>Пальмира Севера</w:t>
            </w:r>
          </w:p>
        </w:tc>
        <w:tc>
          <w:tcPr>
            <w:tcW w:w="126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Сб., 29 июня</w:t>
            </w:r>
          </w:p>
        </w:tc>
        <w:tc>
          <w:tcPr>
            <w:tcW w:w="199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3 и 6 бегом, на вело, на малых колёсах</w:t>
            </w:r>
          </w:p>
        </w:tc>
        <w:tc>
          <w:tcPr>
            <w:tcW w:w="2471"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Г. Санкт-Петербург, север + центр</w:t>
            </w:r>
          </w:p>
        </w:tc>
        <w:tc>
          <w:tcPr>
            <w:tcW w:w="2604"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Городской рогейн, карта размера А2 и крупнее</w:t>
            </w:r>
          </w:p>
        </w:tc>
      </w:tr>
      <w:tr>
        <w:trPr/>
        <w:tc>
          <w:tcPr>
            <w:tcW w:w="48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7</w:t>
            </w:r>
          </w:p>
        </w:tc>
        <w:tc>
          <w:tcPr>
            <w:tcW w:w="1948"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 xml:space="preserve">Главный </w:t>
            </w:r>
            <w:r>
              <w:rPr>
                <w:rFonts w:ascii="Cambria" w:hAnsi="Cambria"/>
                <w:sz w:val="24"/>
                <w:szCs w:val="24"/>
                <w:lang w:val="en-US"/>
              </w:rPr>
              <w:t xml:space="preserve">Weekend </w:t>
            </w:r>
            <w:r>
              <w:rPr>
                <w:rFonts w:ascii="Cambria" w:hAnsi="Cambria"/>
                <w:sz w:val="24"/>
                <w:szCs w:val="24"/>
              </w:rPr>
              <w:t>«Обновление»</w:t>
            </w:r>
          </w:p>
        </w:tc>
        <w:tc>
          <w:tcPr>
            <w:tcW w:w="126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13-14 июля</w:t>
            </w:r>
          </w:p>
        </w:tc>
        <w:tc>
          <w:tcPr>
            <w:tcW w:w="199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1й день – 3 или 6 бегом</w:t>
            </w:r>
          </w:p>
          <w:p>
            <w:pPr>
              <w:pStyle w:val="Normal"/>
              <w:spacing w:lineRule="auto" w:line="240" w:before="0" w:after="0"/>
              <w:jc w:val="center"/>
              <w:rPr>
                <w:rFonts w:ascii="Cambria" w:hAnsi="Cambria"/>
                <w:sz w:val="24"/>
                <w:szCs w:val="24"/>
              </w:rPr>
            </w:pPr>
            <w:r>
              <w:rPr>
                <w:rFonts w:ascii="Cambria" w:hAnsi="Cambria"/>
                <w:sz w:val="24"/>
                <w:szCs w:val="24"/>
              </w:rPr>
              <w:t>2й день – 2 или 5 велосипед</w:t>
            </w:r>
          </w:p>
        </w:tc>
        <w:tc>
          <w:tcPr>
            <w:tcW w:w="2471"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Г.О. Мытищи, дер. Долгиниха, берег Пестовского водхранилища</w:t>
            </w:r>
          </w:p>
        </w:tc>
        <w:tc>
          <w:tcPr>
            <w:tcW w:w="2604"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 xml:space="preserve">Бесплатное питание, дет. сад, веломойка,  горячий душ, </w:t>
            </w:r>
            <w:r>
              <w:rPr>
                <w:rFonts w:ascii="Cambria" w:hAnsi="Cambria"/>
                <w:sz w:val="24"/>
                <w:szCs w:val="24"/>
                <w:lang w:val="en-US"/>
              </w:rPr>
              <w:t>Open</w:t>
            </w:r>
            <w:r>
              <w:rPr>
                <w:rFonts w:ascii="Cambria" w:hAnsi="Cambria"/>
                <w:sz w:val="24"/>
                <w:szCs w:val="24"/>
              </w:rPr>
              <w:t xml:space="preserve"> </w:t>
            </w:r>
            <w:r>
              <w:rPr>
                <w:rFonts w:ascii="Cambria" w:hAnsi="Cambria"/>
                <w:sz w:val="24"/>
                <w:szCs w:val="24"/>
                <w:lang w:val="en-US"/>
              </w:rPr>
              <w:t>Air</w:t>
            </w:r>
          </w:p>
        </w:tc>
      </w:tr>
      <w:tr>
        <w:trPr/>
        <w:tc>
          <w:tcPr>
            <w:tcW w:w="48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8</w:t>
            </w:r>
          </w:p>
        </w:tc>
        <w:tc>
          <w:tcPr>
            <w:tcW w:w="1948" w:type="dxa"/>
            <w:tcBorders/>
            <w:shd w:fill="auto" w:val="clear"/>
          </w:tcPr>
          <w:p>
            <w:pPr>
              <w:pStyle w:val="Normal"/>
              <w:spacing w:lineRule="auto" w:line="240" w:before="0" w:after="0"/>
              <w:jc w:val="center"/>
              <w:rPr>
                <w:rFonts w:ascii="Cambria" w:hAnsi="Cambria"/>
                <w:sz w:val="24"/>
                <w:szCs w:val="24"/>
                <w:highlight w:val="yellow"/>
              </w:rPr>
            </w:pPr>
            <w:r>
              <w:rPr>
                <w:rFonts w:ascii="Cambria" w:hAnsi="Cambria"/>
                <w:sz w:val="24"/>
                <w:szCs w:val="24"/>
                <w:highlight w:val="yellow"/>
              </w:rPr>
              <w:t>Московская Ночь</w:t>
            </w:r>
          </w:p>
        </w:tc>
        <w:tc>
          <w:tcPr>
            <w:tcW w:w="126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27-28 июля</w:t>
            </w:r>
          </w:p>
        </w:tc>
        <w:tc>
          <w:tcPr>
            <w:tcW w:w="199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4 и 8 часов бегом, на велосипеде, на роликах</w:t>
            </w:r>
          </w:p>
        </w:tc>
        <w:tc>
          <w:tcPr>
            <w:tcW w:w="2471"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Самая неожиданная часть Москвы</w:t>
            </w:r>
          </w:p>
        </w:tc>
        <w:tc>
          <w:tcPr>
            <w:tcW w:w="2604"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Городской рогейн, карта размера А2 и крупнее</w:t>
            </w:r>
          </w:p>
        </w:tc>
      </w:tr>
      <w:tr>
        <w:trPr/>
        <w:tc>
          <w:tcPr>
            <w:tcW w:w="48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9</w:t>
            </w:r>
          </w:p>
        </w:tc>
        <w:tc>
          <w:tcPr>
            <w:tcW w:w="1948"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highlight w:val="green"/>
              </w:rPr>
              <w:t>Таинственный Лес</w:t>
            </w:r>
          </w:p>
        </w:tc>
        <w:tc>
          <w:tcPr>
            <w:tcW w:w="126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Сб., 14 сентября</w:t>
            </w:r>
          </w:p>
        </w:tc>
        <w:tc>
          <w:tcPr>
            <w:tcW w:w="199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3 и 6 на вело, 4 и 8 бегом</w:t>
            </w:r>
          </w:p>
        </w:tc>
        <w:tc>
          <w:tcPr>
            <w:tcW w:w="2471"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 xml:space="preserve">Г.О. Дмитров, ст. Икша, восток </w:t>
            </w:r>
          </w:p>
        </w:tc>
        <w:tc>
          <w:tcPr>
            <w:tcW w:w="2604"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Детский сад, горячий душ, веломойка</w:t>
            </w:r>
          </w:p>
        </w:tc>
      </w:tr>
      <w:tr>
        <w:trPr/>
        <w:tc>
          <w:tcPr>
            <w:tcW w:w="48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10</w:t>
            </w:r>
          </w:p>
        </w:tc>
        <w:tc>
          <w:tcPr>
            <w:tcW w:w="1948"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highlight w:val="green"/>
              </w:rPr>
              <w:t>Поздняя Осень</w:t>
            </w:r>
          </w:p>
        </w:tc>
        <w:tc>
          <w:tcPr>
            <w:tcW w:w="126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Сб., 19 октября</w:t>
            </w:r>
          </w:p>
        </w:tc>
        <w:tc>
          <w:tcPr>
            <w:tcW w:w="199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3 и 6 на вело, 4 и 8 бегом</w:t>
            </w:r>
          </w:p>
        </w:tc>
        <w:tc>
          <w:tcPr>
            <w:tcW w:w="2471"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Г.о. Егорьевск, пос. Фосфоритный</w:t>
            </w:r>
          </w:p>
        </w:tc>
        <w:tc>
          <w:tcPr>
            <w:tcW w:w="2604"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Тёплое размещение, детский сад, горячий душ, веломойка</w:t>
            </w:r>
          </w:p>
        </w:tc>
      </w:tr>
      <w:tr>
        <w:trPr/>
        <w:tc>
          <w:tcPr>
            <w:tcW w:w="48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11</w:t>
            </w:r>
          </w:p>
        </w:tc>
        <w:tc>
          <w:tcPr>
            <w:tcW w:w="1948"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Финал</w:t>
            </w:r>
          </w:p>
        </w:tc>
        <w:tc>
          <w:tcPr>
            <w:tcW w:w="126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Вс., 17 ноября</w:t>
            </w:r>
          </w:p>
        </w:tc>
        <w:tc>
          <w:tcPr>
            <w:tcW w:w="1993"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4 бегом, 4 верхом (лыжи или вело)</w:t>
            </w:r>
          </w:p>
        </w:tc>
        <w:tc>
          <w:tcPr>
            <w:tcW w:w="2471"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По назначению, ближнее Подмосковье</w:t>
            </w:r>
          </w:p>
        </w:tc>
        <w:tc>
          <w:tcPr>
            <w:tcW w:w="2604" w:type="dxa"/>
            <w:tcBorders/>
            <w:shd w:fill="auto" w:val="clear"/>
          </w:tcPr>
          <w:p>
            <w:pPr>
              <w:pStyle w:val="Normal"/>
              <w:spacing w:lineRule="auto" w:line="240" w:before="0" w:after="0"/>
              <w:jc w:val="center"/>
              <w:rPr>
                <w:rFonts w:ascii="Cambria" w:hAnsi="Cambria"/>
                <w:sz w:val="24"/>
                <w:szCs w:val="24"/>
              </w:rPr>
            </w:pPr>
            <w:r>
              <w:rPr>
                <w:rFonts w:ascii="Cambria" w:hAnsi="Cambria"/>
                <w:sz w:val="24"/>
                <w:szCs w:val="24"/>
              </w:rPr>
              <w:t>Тёплое размещение, битва форматов, детский сад</w:t>
            </w:r>
          </w:p>
        </w:tc>
      </w:tr>
    </w:tbl>
    <w:p>
      <w:pPr>
        <w:pStyle w:val="Normal"/>
        <w:rPr/>
      </w:pPr>
      <w:r>
        <w:rPr>
          <w:highlight w:val="yellow"/>
        </w:rPr>
        <w:t>Выделенные этапы входят</w:t>
      </w:r>
      <w:r>
        <w:rPr/>
        <w:t xml:space="preserve"> в «</w:t>
      </w:r>
      <w:r>
        <w:rPr>
          <w:lang w:val="en-US"/>
        </w:rPr>
        <w:t>City</w:t>
      </w:r>
      <w:r>
        <w:rPr/>
        <w:t xml:space="preserve"> </w:t>
      </w:r>
      <w:r>
        <w:rPr>
          <w:lang w:val="en-US"/>
        </w:rPr>
        <w:t>Rogaining</w:t>
      </w:r>
      <w:r>
        <w:rPr/>
        <w:t xml:space="preserve"> </w:t>
      </w:r>
      <w:r>
        <w:rPr>
          <w:lang w:val="en-US"/>
        </w:rPr>
        <w:t>Cup</w:t>
      </w:r>
      <w:r>
        <w:rPr/>
        <w:t>», в котором будут выявлены 3-М и 3-Ж – сильнейшие бегуны, велосипедисты и роллеры.</w:t>
      </w:r>
    </w:p>
    <w:p>
      <w:pPr>
        <w:pStyle w:val="Normal"/>
        <w:widowControl/>
        <w:bidi w:val="0"/>
        <w:spacing w:lineRule="auto" w:line="259" w:before="0" w:after="160"/>
        <w:jc w:val="left"/>
        <w:rPr/>
      </w:pPr>
      <w:r>
        <w:rPr/>
        <w:t xml:space="preserve">Центр </w:t>
      </w:r>
      <w:r>
        <w:rPr>
          <w:highlight w:val="green"/>
        </w:rPr>
        <w:t>этих этапов</w:t>
      </w:r>
      <w:r>
        <w:rPr/>
        <w:t xml:space="preserve"> общий с центром этапов крупнейшего в Московском регионе кубка по трейлраннингу «Неоткрытые Края», старты которого пройдут на следующий день после рогейна.</w:t>
      </w:r>
    </w:p>
    <w:sectPr>
      <w:type w:val="nextPage"/>
      <w:pgSz w:w="11906" w:h="16838"/>
      <w:pgMar w:left="709" w:right="424" w:header="0" w:top="709" w:footer="0" w:bottom="28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Segoe UI">
    <w:charset w:val="cc"/>
    <w:family w:val="roman"/>
    <w:pitch w:val="variable"/>
  </w:font>
  <w:font w:name="Liberation Sans">
    <w:altName w:val="Arial"/>
    <w:charset w:val="cc"/>
    <w:family w:val="swiss"/>
    <w:pitch w:val="variable"/>
  </w:font>
  <w:font w:name="Cambria">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Fonts w:cs="Courier New"/>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Fonts w:cs="Courier New"/>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Fonts w:cs="Courier New"/>
      </w:rPr>
    </w:lvl>
    <w:lvl w:ilvl="8">
      <w:start w:val="1"/>
      <w:numFmt w:val="bullet"/>
      <w:lvlText w:val=""/>
      <w:lvlJc w:val="left"/>
      <w:pPr>
        <w:ind w:left="6525" w:hanging="360"/>
      </w:pPr>
      <w:rPr>
        <w:rFonts w:ascii="Wingdings" w:hAnsi="Wingdings" w:cs="Wingdings" w:hint="default"/>
      </w:rPr>
    </w:lvl>
  </w:abstractNum>
  <w:abstractNum w:abstractNumId="2">
    <w:lvl w:ilvl="0">
      <w:start w:val="1"/>
      <w:numFmt w:val="bullet"/>
      <w:lvlText w:val=""/>
      <w:lvlJc w:val="left"/>
      <w:pPr>
        <w:ind w:left="786" w:hanging="360"/>
      </w:pPr>
      <w:rPr>
        <w:rFonts w:ascii="Wingdings" w:hAnsi="Wingdings" w:cs="Wingdings" w:hint="default"/>
        <w:color w:val="00000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x-none" w:bidi="x-non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935256"/>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2">
    <w:name w:val="Heading 2"/>
    <w:basedOn w:val="Normal"/>
    <w:link w:val="20"/>
    <w:uiPriority w:val="9"/>
    <w:unhideWhenUsed/>
    <w:qFormat/>
    <w:rsid w:val="005d04a9"/>
    <w:pPr>
      <w:keepNext w:val="true"/>
      <w:keepLines/>
      <w:spacing w:lineRule="auto" w:line="276" w:before="40" w:after="0"/>
      <w:outlineLvl w:val="1"/>
    </w:pPr>
    <w:rPr>
      <w:rFonts w:ascii="Calibri Light" w:hAnsi="Calibri Light" w:eastAsia="" w:cs="" w:asciiTheme="majorHAnsi" w:cstheme="majorBidi" w:eastAsiaTheme="majorEastAsia" w:hAnsiTheme="majorHAnsi"/>
      <w:color w:val="1F4E79" w:themeColor="accent1" w:themeShade="80"/>
      <w:sz w:val="32"/>
      <w:szCs w:val="26"/>
      <w:u w:val="single"/>
    </w:rPr>
  </w:style>
  <w:style w:type="paragraph" w:styleId="3">
    <w:name w:val="Heading 3"/>
    <w:basedOn w:val="Normal"/>
    <w:link w:val="30"/>
    <w:uiPriority w:val="9"/>
    <w:unhideWhenUsed/>
    <w:qFormat/>
    <w:rsid w:val="001c298f"/>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4">
    <w:name w:val="Heading 4"/>
    <w:basedOn w:val="Normal"/>
    <w:link w:val="40"/>
    <w:uiPriority w:val="9"/>
    <w:unhideWhenUsed/>
    <w:qFormat/>
    <w:rsid w:val="001c298f"/>
    <w:pPr>
      <w:keepNext w:val="true"/>
      <w:keepLines/>
      <w:spacing w:before="40" w:after="0"/>
      <w:outlineLvl w:val="3"/>
    </w:pPr>
    <w:rPr>
      <w:rFonts w:ascii="Calibri Light" w:hAnsi="Calibri Light" w:eastAsia="" w:cs="" w:asciiTheme="majorHAnsi" w:cstheme="majorBidi" w:eastAsiaTheme="majorEastAsia" w:hAnsiTheme="majorHAnsi"/>
      <w:b/>
      <w:i/>
      <w:iCs/>
      <w:color w:val="2E74B5" w:themeColor="accent1" w:themeShade="bf"/>
      <w:sz w:val="28"/>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uiPriority w:val="9"/>
    <w:qFormat/>
    <w:rsid w:val="005d04a9"/>
    <w:rPr>
      <w:rFonts w:ascii="Calibri Light" w:hAnsi="Calibri Light" w:eastAsia="" w:cs="" w:asciiTheme="majorHAnsi" w:cstheme="majorBidi" w:eastAsiaTheme="majorEastAsia" w:hAnsiTheme="majorHAnsi"/>
      <w:color w:val="1F4E79" w:themeColor="accent1" w:themeShade="80"/>
      <w:sz w:val="32"/>
      <w:szCs w:val="26"/>
      <w:u w:val="single"/>
    </w:rPr>
  </w:style>
  <w:style w:type="character" w:styleId="Style10">
    <w:name w:val="Интернет-ссылка"/>
    <w:basedOn w:val="DefaultParagraphFont"/>
    <w:uiPriority w:val="99"/>
    <w:unhideWhenUsed/>
    <w:rsid w:val="00e01c4f"/>
    <w:rPr>
      <w:color w:val="0563C1" w:themeColor="hyperlink"/>
      <w:u w:val="single"/>
    </w:rPr>
  </w:style>
  <w:style w:type="character" w:styleId="31" w:customStyle="1">
    <w:name w:val="Заголовок 3 Знак"/>
    <w:basedOn w:val="DefaultParagraphFont"/>
    <w:link w:val="3"/>
    <w:uiPriority w:val="9"/>
    <w:qFormat/>
    <w:rsid w:val="001c298f"/>
    <w:rPr>
      <w:rFonts w:ascii="Calibri Light" w:hAnsi="Calibri Light" w:eastAsia="" w:cs="" w:asciiTheme="majorHAnsi" w:cstheme="majorBidi" w:eastAsiaTheme="majorEastAsia" w:hAnsiTheme="majorHAnsi"/>
      <w:color w:val="1F4D78" w:themeColor="accent1" w:themeShade="7f"/>
      <w:sz w:val="24"/>
      <w:szCs w:val="24"/>
    </w:rPr>
  </w:style>
  <w:style w:type="character" w:styleId="41" w:customStyle="1">
    <w:name w:val="Заголовок 4 Знак"/>
    <w:basedOn w:val="DefaultParagraphFont"/>
    <w:link w:val="4"/>
    <w:uiPriority w:val="9"/>
    <w:qFormat/>
    <w:rsid w:val="001c298f"/>
    <w:rPr>
      <w:rFonts w:ascii="Calibri Light" w:hAnsi="Calibri Light" w:eastAsia="" w:cs="" w:asciiTheme="majorHAnsi" w:cstheme="majorBidi" w:eastAsiaTheme="majorEastAsia" w:hAnsiTheme="majorHAnsi"/>
      <w:b/>
      <w:i/>
      <w:iCs/>
      <w:color w:val="2E74B5" w:themeColor="accent1" w:themeShade="bf"/>
      <w:sz w:val="28"/>
    </w:rPr>
  </w:style>
  <w:style w:type="character" w:styleId="11" w:customStyle="1">
    <w:name w:val="Заголовок 1 Знак"/>
    <w:basedOn w:val="DefaultParagraphFont"/>
    <w:link w:val="1"/>
    <w:uiPriority w:val="9"/>
    <w:qFormat/>
    <w:rsid w:val="00935256"/>
    <w:rPr>
      <w:rFonts w:ascii="Calibri Light" w:hAnsi="Calibri Light" w:eastAsia="" w:cs="" w:asciiTheme="majorHAnsi" w:cstheme="majorBidi" w:eastAsiaTheme="majorEastAsia" w:hAnsiTheme="majorHAnsi"/>
      <w:color w:val="2E74B5" w:themeColor="accent1" w:themeShade="bf"/>
      <w:sz w:val="32"/>
      <w:szCs w:val="32"/>
    </w:rPr>
  </w:style>
  <w:style w:type="character" w:styleId="Style11" w:customStyle="1">
    <w:name w:val="Текст выноски Знак"/>
    <w:basedOn w:val="DefaultParagraphFont"/>
    <w:link w:val="a7"/>
    <w:uiPriority w:val="99"/>
    <w:semiHidden/>
    <w:qFormat/>
    <w:rsid w:val="00a1042f"/>
    <w:rPr>
      <w:rFonts w:ascii="Segoe UI" w:hAnsi="Segoe UI" w:cs="Segoe UI"/>
      <w:sz w:val="18"/>
      <w:szCs w:val="18"/>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color w:val="00000A"/>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lang w:val="en-US"/>
    </w:rPr>
  </w:style>
  <w:style w:type="character" w:styleId="ListLabel12">
    <w:name w:val="ListLabel 12"/>
    <w:qFormat/>
    <w:rPr/>
  </w:style>
  <w:style w:type="character" w:styleId="Style12">
    <w:name w:val="Ссылка указателя"/>
    <w:qFormat/>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TOCHeading">
    <w:name w:val="TOC Heading"/>
    <w:basedOn w:val="1"/>
    <w:uiPriority w:val="39"/>
    <w:unhideWhenUsed/>
    <w:qFormat/>
    <w:rsid w:val="00935256"/>
    <w:pPr/>
    <w:rPr>
      <w:lang w:eastAsia="ru-RU"/>
    </w:rPr>
  </w:style>
  <w:style w:type="paragraph" w:styleId="22">
    <w:name w:val="TOC 2"/>
    <w:basedOn w:val="Normal"/>
    <w:autoRedefine/>
    <w:uiPriority w:val="39"/>
    <w:unhideWhenUsed/>
    <w:rsid w:val="00935256"/>
    <w:pPr>
      <w:spacing w:before="0" w:after="0"/>
    </w:pPr>
    <w:rPr>
      <w:b/>
      <w:bCs/>
      <w:smallCaps/>
    </w:rPr>
  </w:style>
  <w:style w:type="paragraph" w:styleId="12">
    <w:name w:val="TOC 1"/>
    <w:basedOn w:val="Normal"/>
    <w:autoRedefine/>
    <w:uiPriority w:val="39"/>
    <w:unhideWhenUsed/>
    <w:rsid w:val="00935256"/>
    <w:pPr>
      <w:spacing w:before="360" w:after="360"/>
    </w:pPr>
    <w:rPr>
      <w:b/>
      <w:bCs/>
      <w:caps/>
      <w:u w:val="single"/>
    </w:rPr>
  </w:style>
  <w:style w:type="paragraph" w:styleId="32">
    <w:name w:val="TOC 3"/>
    <w:basedOn w:val="Normal"/>
    <w:autoRedefine/>
    <w:uiPriority w:val="39"/>
    <w:unhideWhenUsed/>
    <w:rsid w:val="00935256"/>
    <w:pPr>
      <w:spacing w:before="0" w:after="0"/>
    </w:pPr>
    <w:rPr>
      <w:smallCaps/>
    </w:rPr>
  </w:style>
  <w:style w:type="paragraph" w:styleId="42">
    <w:name w:val="TOC 4"/>
    <w:basedOn w:val="Normal"/>
    <w:autoRedefine/>
    <w:uiPriority w:val="39"/>
    <w:unhideWhenUsed/>
    <w:rsid w:val="00935256"/>
    <w:pPr>
      <w:spacing w:before="0" w:after="0"/>
    </w:pPr>
    <w:rPr/>
  </w:style>
  <w:style w:type="paragraph" w:styleId="5">
    <w:name w:val="TOC 5"/>
    <w:basedOn w:val="Normal"/>
    <w:autoRedefine/>
    <w:uiPriority w:val="39"/>
    <w:unhideWhenUsed/>
    <w:rsid w:val="00935256"/>
    <w:pPr>
      <w:spacing w:before="0" w:after="0"/>
    </w:pPr>
    <w:rPr/>
  </w:style>
  <w:style w:type="paragraph" w:styleId="6">
    <w:name w:val="TOC 6"/>
    <w:basedOn w:val="Normal"/>
    <w:autoRedefine/>
    <w:uiPriority w:val="39"/>
    <w:unhideWhenUsed/>
    <w:rsid w:val="00935256"/>
    <w:pPr>
      <w:spacing w:before="0" w:after="0"/>
    </w:pPr>
    <w:rPr/>
  </w:style>
  <w:style w:type="paragraph" w:styleId="7">
    <w:name w:val="TOC 7"/>
    <w:basedOn w:val="Normal"/>
    <w:autoRedefine/>
    <w:uiPriority w:val="39"/>
    <w:unhideWhenUsed/>
    <w:rsid w:val="00935256"/>
    <w:pPr>
      <w:spacing w:before="0" w:after="0"/>
    </w:pPr>
    <w:rPr/>
  </w:style>
  <w:style w:type="paragraph" w:styleId="8">
    <w:name w:val="TOC 8"/>
    <w:basedOn w:val="Normal"/>
    <w:autoRedefine/>
    <w:uiPriority w:val="39"/>
    <w:unhideWhenUsed/>
    <w:rsid w:val="00935256"/>
    <w:pPr>
      <w:spacing w:before="0" w:after="0"/>
    </w:pPr>
    <w:rPr/>
  </w:style>
  <w:style w:type="paragraph" w:styleId="9">
    <w:name w:val="TOC 9"/>
    <w:basedOn w:val="Normal"/>
    <w:autoRedefine/>
    <w:uiPriority w:val="39"/>
    <w:unhideWhenUsed/>
    <w:rsid w:val="00935256"/>
    <w:pPr>
      <w:spacing w:before="0" w:after="0"/>
    </w:pPr>
    <w:rPr/>
  </w:style>
  <w:style w:type="paragraph" w:styleId="ListParagraph">
    <w:name w:val="List Paragraph"/>
    <w:basedOn w:val="Normal"/>
    <w:uiPriority w:val="34"/>
    <w:qFormat/>
    <w:rsid w:val="003460e9"/>
    <w:pPr>
      <w:spacing w:before="0" w:after="160"/>
      <w:ind w:left="720" w:hanging="0"/>
      <w:contextualSpacing/>
    </w:pPr>
    <w:rPr/>
  </w:style>
  <w:style w:type="paragraph" w:styleId="BalloonText">
    <w:name w:val="Balloon Text"/>
    <w:basedOn w:val="Normal"/>
    <w:link w:val="a8"/>
    <w:uiPriority w:val="99"/>
    <w:semiHidden/>
    <w:unhideWhenUsed/>
    <w:qFormat/>
    <w:rsid w:val="00a1042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5">
    <w:name w:val="Table Grid"/>
    <w:basedOn w:val="a1"/>
    <w:uiPriority w:val="39"/>
    <w:rsid w:val="009352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mosplay.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9475E-041F-4F03-9C69-C43713532E7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Application>LibreOffice/6.0.3.2$Windows_x86 LibreOffice_project/8f48d515416608e3a835360314dac7e47fd0b821</Application>
  <Pages>8</Pages>
  <Words>4121</Words>
  <Characters>25298</Characters>
  <CharactersWithSpaces>29283</CharactersWithSpaces>
  <Paragraphs>228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2018-10-25T08:42:00Z</dcterms:created>
  <dc:creator>Артём</dc:creator>
  <dc:description/>
  <dc:language>ru-RU</dc:language>
  <cp:lastModifiedBy/>
  <cp:lastPrinted>2018-10-25T11:45:00Z</cp:lastPrinted>
  <dcterms:modified xsi:type="dcterms:W3CDTF">2018-10-30T22:01:30Z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